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34" w:rsidRPr="00B334C5" w:rsidRDefault="00B37882" w:rsidP="00B334C5">
      <w:pPr>
        <w:spacing w:line="360" w:lineRule="auto"/>
        <w:jc w:val="center"/>
        <w:rPr>
          <w:b/>
          <w:bCs/>
          <w:sz w:val="28"/>
          <w:szCs w:val="28"/>
        </w:rPr>
      </w:pPr>
      <w:r w:rsidRPr="00B334C5">
        <w:rPr>
          <w:b/>
          <w:bCs/>
          <w:sz w:val="28"/>
          <w:szCs w:val="28"/>
        </w:rPr>
        <w:t xml:space="preserve">НАЦИОНАЛЕН ДОКЛАД – БЪЛГАРИЯ </w:t>
      </w:r>
    </w:p>
    <w:p w:rsidR="00605A70" w:rsidRPr="00B334C5" w:rsidRDefault="00B37882" w:rsidP="00B334C5">
      <w:pPr>
        <w:spacing w:line="360" w:lineRule="auto"/>
        <w:jc w:val="center"/>
        <w:rPr>
          <w:b/>
          <w:bCs/>
          <w:sz w:val="28"/>
          <w:szCs w:val="28"/>
        </w:rPr>
      </w:pPr>
      <w:r w:rsidRPr="00B334C5">
        <w:rPr>
          <w:b/>
          <w:bCs/>
          <w:sz w:val="28"/>
          <w:szCs w:val="28"/>
        </w:rPr>
        <w:t>ЕТАП</w:t>
      </w:r>
      <w:r w:rsidR="00043630" w:rsidRPr="00B334C5">
        <w:rPr>
          <w:b/>
          <w:bCs/>
          <w:sz w:val="28"/>
          <w:szCs w:val="28"/>
        </w:rPr>
        <w:t xml:space="preserve"> 1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bg-BG" w:eastAsia="bg-BG"/>
        </w:rPr>
        <w:id w:val="18272273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</w:rPr>
      </w:sdtEndPr>
      <w:sdtContent>
        <w:p w:rsidR="000E7B34" w:rsidRPr="00B334C5" w:rsidRDefault="00FD1867" w:rsidP="00B334C5">
          <w:pPr>
            <w:pStyle w:val="TOCHeading"/>
            <w:spacing w:before="0"/>
            <w:jc w:val="center"/>
            <w:rPr>
              <w:rFonts w:ascii="Times New Roman" w:hAnsi="Times New Roman" w:cs="Times New Roman"/>
              <w:color w:val="000000" w:themeColor="text1"/>
              <w:lang w:val="bg-BG"/>
            </w:rPr>
          </w:pPr>
          <w:r w:rsidRPr="00B334C5">
            <w:rPr>
              <w:rFonts w:ascii="Times New Roman" w:hAnsi="Times New Roman" w:cs="Times New Roman"/>
              <w:color w:val="000000" w:themeColor="text1"/>
              <w:lang w:val="bg-BG" w:bidi="en-US"/>
            </w:rPr>
            <w:t>СЪДЪРЖАНИЕ</w:t>
          </w:r>
        </w:p>
        <w:p w:rsidR="000E7B34" w:rsidRPr="00B334C5" w:rsidRDefault="0045075B" w:rsidP="00B334C5">
          <w:pPr>
            <w:pStyle w:val="TOC1"/>
            <w:tabs>
              <w:tab w:val="right" w:leader="dot" w:pos="9016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bg-BG" w:eastAsia="en-GB"/>
            </w:rPr>
          </w:pPr>
          <w:r w:rsidRPr="00B334C5">
            <w:rPr>
              <w:b w:val="0"/>
              <w:lang w:val="bg-BG" w:bidi="en-US"/>
            </w:rPr>
            <w:fldChar w:fldCharType="begin"/>
          </w:r>
          <w:r w:rsidR="00043630" w:rsidRPr="00B334C5">
            <w:rPr>
              <w:lang w:val="bg-BG" w:bidi="en-US"/>
            </w:rPr>
            <w:instrText xml:space="preserve"> TOC \o "1-3" \h \z \u </w:instrText>
          </w:r>
          <w:r w:rsidRPr="00B334C5">
            <w:rPr>
              <w:b w:val="0"/>
              <w:lang w:val="bg-BG" w:bidi="en-US"/>
            </w:rPr>
            <w:fldChar w:fldCharType="separate"/>
          </w:r>
          <w:hyperlink w:anchor="_Toc75944862" w:history="1">
            <w:r w:rsidR="00043630" w:rsidRPr="00B334C5">
              <w:rPr>
                <w:rStyle w:val="Hyperlink"/>
                <w:rFonts w:ascii="Times New Roman" w:hAnsi="Times New Roman" w:cs="Times New Roman"/>
                <w:noProof/>
                <w:lang w:val="bg-BG" w:bidi="en-US"/>
              </w:rPr>
              <w:t xml:space="preserve">1. </w:t>
            </w:r>
            <w:r w:rsidR="00FD1867" w:rsidRPr="00B334C5">
              <w:rPr>
                <w:rStyle w:val="Hyperlink"/>
                <w:rFonts w:ascii="Times New Roman" w:hAnsi="Times New Roman" w:cs="Times New Roman"/>
                <w:noProof/>
                <w:lang w:val="bg-BG" w:bidi="en-US"/>
              </w:rPr>
              <w:t xml:space="preserve">Исторически тенденции и развитие на дигиталната трансформация в страната партньор </w:t>
            </w:r>
          </w:hyperlink>
        </w:p>
        <w:p w:rsidR="000E7B34" w:rsidRPr="00B334C5" w:rsidRDefault="005D1255" w:rsidP="00B334C5">
          <w:pPr>
            <w:pStyle w:val="TOC2"/>
            <w:tabs>
              <w:tab w:val="left" w:pos="960"/>
              <w:tab w:val="right" w:leader="dot" w:pos="9016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bg-BG" w:eastAsia="en-GB"/>
            </w:rPr>
          </w:pPr>
          <w:hyperlink w:anchor="_Toc75944863" w:history="1">
            <w:r w:rsidR="00043630" w:rsidRPr="00B334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bg-BG" w:bidi="en-US"/>
              </w:rPr>
              <w:t>1.1.</w:t>
            </w:r>
            <w:r w:rsidR="00043630" w:rsidRPr="00B334C5">
              <w:rPr>
                <w:rFonts w:ascii="Times New Roman" w:eastAsiaTheme="minorEastAsia" w:hAnsi="Times New Roman" w:cs="Times New Roman"/>
                <w:b w:val="0"/>
                <w:noProof/>
                <w:sz w:val="24"/>
                <w:szCs w:val="24"/>
                <w:lang w:val="bg-BG" w:bidi="en-US"/>
              </w:rPr>
              <w:tab/>
            </w:r>
            <w:r w:rsidR="00FD1867" w:rsidRPr="00B334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bg-BG" w:bidi="en-US"/>
              </w:rPr>
              <w:t>Структура на икономиката в България</w:t>
            </w:r>
          </w:hyperlink>
        </w:p>
        <w:p w:rsidR="000E7B34" w:rsidRPr="00B334C5" w:rsidRDefault="005D1255" w:rsidP="00B334C5">
          <w:pPr>
            <w:pStyle w:val="TOC2"/>
            <w:tabs>
              <w:tab w:val="left" w:pos="960"/>
              <w:tab w:val="right" w:leader="dot" w:pos="9016"/>
            </w:tabs>
            <w:spacing w:before="0" w:line="360" w:lineRule="auto"/>
            <w:rPr>
              <w:rStyle w:val="Hyperlink"/>
              <w:sz w:val="24"/>
              <w:szCs w:val="24"/>
              <w:lang w:val="bg-BG" w:bidi="en-US"/>
            </w:rPr>
          </w:pPr>
          <w:hyperlink w:anchor="_Toc75944864" w:history="1">
            <w:r w:rsidR="00043630" w:rsidRPr="00B334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bg-BG" w:bidi="en-US"/>
              </w:rPr>
              <w:t>1.2.</w:t>
            </w:r>
            <w:r w:rsidR="00043630" w:rsidRPr="00B334C5">
              <w:rPr>
                <w:rStyle w:val="Hyperlink"/>
                <w:sz w:val="24"/>
                <w:szCs w:val="24"/>
                <w:lang w:val="bg-BG"/>
              </w:rPr>
              <w:tab/>
            </w:r>
            <w:r w:rsidR="002A3790" w:rsidRPr="002A3790">
              <w:rPr>
                <w:rStyle w:val="Hyperlink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  <w:lang w:val="bg-BG" w:bidi="en-US"/>
              </w:rPr>
              <w:t xml:space="preserve">Последни </w:t>
            </w:r>
          </w:hyperlink>
          <w:r w:rsidR="00FD1867" w:rsidRPr="00B334C5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bg-BG" w:bidi="en-US"/>
            </w:rPr>
            <w:t>развития</w:t>
          </w:r>
        </w:p>
        <w:p w:rsidR="000E7B34" w:rsidRPr="00B334C5" w:rsidRDefault="005D1255" w:rsidP="00B334C5">
          <w:pPr>
            <w:pStyle w:val="TOC2"/>
            <w:tabs>
              <w:tab w:val="left" w:pos="960"/>
              <w:tab w:val="right" w:leader="dot" w:pos="9016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bg-BG" w:eastAsia="en-GB"/>
            </w:rPr>
          </w:pPr>
          <w:hyperlink w:anchor="_Toc75944865" w:history="1">
            <w:r w:rsidR="00043630" w:rsidRPr="00B334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bg-BG" w:bidi="en-US"/>
              </w:rPr>
              <w:t>1.3.</w:t>
            </w:r>
            <w:r w:rsidR="00043630" w:rsidRPr="00B334C5">
              <w:rPr>
                <w:rFonts w:ascii="Times New Roman" w:eastAsiaTheme="minorEastAsia" w:hAnsi="Times New Roman" w:cs="Times New Roman"/>
                <w:b w:val="0"/>
                <w:noProof/>
                <w:sz w:val="24"/>
                <w:szCs w:val="24"/>
                <w:lang w:val="bg-BG" w:bidi="en-US"/>
              </w:rPr>
              <w:tab/>
            </w:r>
            <w:r w:rsidR="00FD1867" w:rsidRPr="00B334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bg-BG" w:bidi="en-US"/>
              </w:rPr>
              <w:t>Прогнози и бъдещо развитие</w:t>
            </w:r>
            <w:r w:rsidR="00FD1867" w:rsidRPr="00B334C5">
              <w:rPr>
                <w:rStyle w:val="Hyperlink"/>
                <w:sz w:val="24"/>
                <w:szCs w:val="24"/>
                <w:lang w:val="bg-BG"/>
              </w:rPr>
              <w:t xml:space="preserve"> </w:t>
            </w:r>
          </w:hyperlink>
        </w:p>
        <w:p w:rsidR="000E7B34" w:rsidRPr="00B334C5" w:rsidRDefault="005D1255" w:rsidP="00B334C5">
          <w:pPr>
            <w:pStyle w:val="TOC1"/>
            <w:tabs>
              <w:tab w:val="right" w:leader="dot" w:pos="9016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bg-BG" w:eastAsia="en-GB"/>
            </w:rPr>
          </w:pPr>
          <w:hyperlink w:anchor="_Toc75944866" w:history="1">
            <w:r w:rsidR="00043630" w:rsidRPr="00B334C5">
              <w:rPr>
                <w:rStyle w:val="Hyperlink"/>
                <w:rFonts w:ascii="Times New Roman" w:hAnsi="Times New Roman" w:cs="Times New Roman"/>
                <w:noProof/>
                <w:lang w:val="bg-BG" w:bidi="en-US"/>
              </w:rPr>
              <w:t xml:space="preserve">2. </w:t>
            </w:r>
            <w:r w:rsidR="00FD1867" w:rsidRPr="00B334C5">
              <w:rPr>
                <w:rStyle w:val="Hyperlink"/>
                <w:rFonts w:ascii="Times New Roman" w:hAnsi="Times New Roman" w:cs="Times New Roman"/>
                <w:noProof/>
                <w:lang w:val="bg-BG" w:bidi="en-US"/>
              </w:rPr>
              <w:t xml:space="preserve">Национална рамка </w:t>
            </w:r>
            <w:r w:rsidR="003E332B" w:rsidRPr="00B334C5">
              <w:rPr>
                <w:rStyle w:val="Hyperlink"/>
                <w:rFonts w:ascii="Times New Roman" w:hAnsi="Times New Roman" w:cs="Times New Roman"/>
                <w:noProof/>
                <w:lang w:val="bg-BG" w:bidi="en-US"/>
              </w:rPr>
              <w:t>з</w:t>
            </w:r>
            <w:r w:rsidR="00FD1867" w:rsidRPr="00B334C5">
              <w:rPr>
                <w:rStyle w:val="Hyperlink"/>
                <w:rFonts w:ascii="Times New Roman" w:hAnsi="Times New Roman" w:cs="Times New Roman"/>
                <w:noProof/>
                <w:lang w:val="bg-BG" w:bidi="en-US"/>
              </w:rPr>
              <w:t xml:space="preserve">а дигитализация </w:t>
            </w:r>
          </w:hyperlink>
          <w:r w:rsidR="00FD1867" w:rsidRPr="00B334C5">
            <w:rPr>
              <w:rStyle w:val="Hyperlink"/>
              <w:rFonts w:ascii="Times New Roman" w:hAnsi="Times New Roman" w:cs="Times New Roman"/>
              <w:noProof/>
              <w:color w:val="auto"/>
              <w:u w:val="none"/>
              <w:lang w:val="bg-BG" w:bidi="en-US"/>
            </w:rPr>
            <w:t>и колективно договаряне</w:t>
          </w:r>
        </w:p>
        <w:p w:rsidR="000E7B34" w:rsidRPr="00B334C5" w:rsidRDefault="005D1255" w:rsidP="00B334C5">
          <w:pPr>
            <w:pStyle w:val="TOC1"/>
            <w:tabs>
              <w:tab w:val="right" w:leader="dot" w:pos="9016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lang w:val="bg-BG" w:eastAsia="en-GB"/>
            </w:rPr>
          </w:pPr>
          <w:hyperlink w:anchor="_Toc75944867" w:history="1">
            <w:r w:rsidR="00043630" w:rsidRPr="00B334C5">
              <w:rPr>
                <w:rStyle w:val="Hyperlink"/>
                <w:rFonts w:ascii="Times New Roman" w:hAnsi="Times New Roman" w:cs="Times New Roman"/>
                <w:noProof/>
                <w:lang w:val="bg-BG" w:bidi="en-US"/>
              </w:rPr>
              <w:t xml:space="preserve">3. </w:t>
            </w:r>
            <w:r w:rsidR="00FD1867" w:rsidRPr="00B334C5">
              <w:rPr>
                <w:rStyle w:val="Hyperlink"/>
                <w:rFonts w:ascii="Times New Roman" w:hAnsi="Times New Roman" w:cs="Times New Roman"/>
                <w:noProof/>
                <w:lang w:val="bg-BG" w:bidi="en-US"/>
              </w:rPr>
              <w:t xml:space="preserve">Ролята на социалните партньори </w:t>
            </w:r>
          </w:hyperlink>
        </w:p>
        <w:p w:rsidR="000E7B34" w:rsidRPr="00B334C5" w:rsidRDefault="005D1255" w:rsidP="00735754">
          <w:pPr>
            <w:pStyle w:val="TOC2"/>
            <w:tabs>
              <w:tab w:val="right" w:leader="dot" w:pos="9016"/>
            </w:tabs>
            <w:spacing w:before="0" w:line="360" w:lineRule="auto"/>
            <w:jc w:val="both"/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bg-BG" w:eastAsia="en-GB"/>
            </w:rPr>
          </w:pPr>
          <w:hyperlink w:anchor="_Toc75944868" w:history="1">
            <w:r w:rsidR="0073575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bg-BG" w:bidi="en-US"/>
              </w:rPr>
              <w:t>3.1.</w:t>
            </w:r>
          </w:hyperlink>
          <w:r w:rsidR="00735754" w:rsidRPr="0000760E">
            <w:rPr>
              <w:rFonts w:ascii="Times New Roman" w:hAnsi="Times New Roman" w:cs="Times New Roman"/>
              <w:b w:val="0"/>
              <w:sz w:val="24"/>
              <w:szCs w:val="24"/>
              <w:lang w:val="bg-BG"/>
            </w:rPr>
            <w:t xml:space="preserve"> </w:t>
          </w:r>
          <w:r w:rsidR="00735754" w:rsidRPr="0000760E">
            <w:rPr>
              <w:rFonts w:ascii="Times New Roman" w:hAnsi="Times New Roman" w:cs="Times New Roman"/>
              <w:sz w:val="24"/>
              <w:szCs w:val="24"/>
              <w:lang w:val="bg-BG"/>
            </w:rPr>
            <w:t xml:space="preserve">Актуално състояние по основните въпроси, уредени от </w:t>
          </w:r>
          <w:r w:rsidR="00735754" w:rsidRPr="0000760E">
            <w:rPr>
              <w:rFonts w:ascii="Times New Roman" w:hAnsi="Times New Roman" w:cs="Times New Roman"/>
              <w:iCs/>
              <w:sz w:val="24"/>
              <w:szCs w:val="24"/>
              <w:lang w:val="bg-BG"/>
            </w:rPr>
            <w:t>Рамковото споразумение на европейските социални партньори по дигитализация</w:t>
          </w:r>
        </w:p>
        <w:p w:rsidR="0077704D" w:rsidRPr="00B334C5" w:rsidRDefault="0045075B" w:rsidP="00B334C5">
          <w:pPr>
            <w:pStyle w:val="TOC2"/>
            <w:tabs>
              <w:tab w:val="right" w:leader="dot" w:pos="9016"/>
            </w:tabs>
            <w:spacing w:before="0" w:line="360" w:lineRule="auto"/>
            <w:rPr>
              <w:sz w:val="24"/>
              <w:szCs w:val="24"/>
              <w:lang w:val="bg-BG"/>
            </w:rPr>
          </w:pPr>
          <w:r w:rsidRPr="00B334C5">
            <w:rPr>
              <w:sz w:val="24"/>
              <w:szCs w:val="24"/>
              <w:lang w:val="bg-BG"/>
            </w:rPr>
            <w:fldChar w:fldCharType="begin"/>
          </w:r>
          <w:r w:rsidR="003029BE" w:rsidRPr="00B334C5">
            <w:rPr>
              <w:sz w:val="24"/>
              <w:szCs w:val="24"/>
              <w:lang w:val="bg-BG"/>
            </w:rPr>
            <w:instrText>HYPERLINK \l "_Toc75944869"</w:instrText>
          </w:r>
          <w:r w:rsidRPr="00B334C5">
            <w:rPr>
              <w:sz w:val="24"/>
              <w:szCs w:val="24"/>
              <w:lang w:val="bg-BG"/>
            </w:rPr>
            <w:fldChar w:fldCharType="separate"/>
          </w:r>
          <w:r w:rsidR="00043630" w:rsidRPr="00B334C5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lang w:val="bg-BG" w:bidi="en-US"/>
            </w:rPr>
            <w:t>3.2.</w:t>
          </w:r>
          <w:r w:rsidR="0077704D" w:rsidRPr="00B334C5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lang w:val="bg-BG" w:bidi="en-US"/>
            </w:rPr>
            <w:t xml:space="preserve"> Предизвикателства и възможности пред социалния диалог, произтичащи</w:t>
          </w:r>
          <w:r w:rsidR="005C0676" w:rsidRPr="00B334C5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lang w:val="bg-BG" w:bidi="en-US"/>
            </w:rPr>
            <w:t xml:space="preserve"> от дигиталната трансформация в</w:t>
          </w:r>
          <w:r w:rsidR="0077704D" w:rsidRPr="00B334C5">
            <w:rPr>
              <w:rStyle w:val="Hyperlink"/>
              <w:rFonts w:ascii="Times New Roman" w:hAnsi="Times New Roman" w:cs="Times New Roman"/>
              <w:noProof/>
              <w:sz w:val="24"/>
              <w:szCs w:val="24"/>
              <w:lang w:val="bg-BG" w:bidi="en-US"/>
            </w:rPr>
            <w:t xml:space="preserve"> света на труда</w:t>
          </w:r>
        </w:p>
        <w:p w:rsidR="000E7B34" w:rsidRPr="00B334C5" w:rsidRDefault="0045075B" w:rsidP="00B334C5">
          <w:pPr>
            <w:pStyle w:val="TOC2"/>
            <w:tabs>
              <w:tab w:val="right" w:leader="dot" w:pos="9016"/>
            </w:tabs>
            <w:spacing w:before="0" w:line="360" w:lineRule="auto"/>
            <w:ind w:left="0"/>
            <w:rPr>
              <w:rStyle w:val="Hyperlink"/>
              <w:sz w:val="24"/>
              <w:szCs w:val="24"/>
              <w:lang w:val="bg-BG" w:bidi="en-US"/>
            </w:rPr>
          </w:pPr>
          <w:r w:rsidRPr="00B334C5">
            <w:rPr>
              <w:sz w:val="24"/>
              <w:szCs w:val="24"/>
              <w:lang w:val="bg-BG"/>
            </w:rPr>
            <w:fldChar w:fldCharType="end"/>
          </w:r>
          <w:r w:rsidR="0077704D" w:rsidRPr="00B334C5"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val="bg-BG" w:eastAsia="en-GB"/>
            </w:rPr>
            <w:t xml:space="preserve">    </w:t>
          </w:r>
          <w:hyperlink w:anchor="_Toc75944870" w:history="1">
            <w:r w:rsidR="00043630" w:rsidRPr="00B334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bg-BG" w:bidi="en-US"/>
              </w:rPr>
              <w:t xml:space="preserve">3.3. </w:t>
            </w:r>
            <w:r w:rsidR="0077704D" w:rsidRPr="00B334C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bg-BG" w:bidi="en-US"/>
              </w:rPr>
              <w:t>Примери</w:t>
            </w:r>
          </w:hyperlink>
          <w:r w:rsidR="0077704D" w:rsidRPr="00B334C5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bg-BG" w:bidi="en-US"/>
            </w:rPr>
            <w:t xml:space="preserve"> </w:t>
          </w:r>
          <w:r w:rsidR="002575C5" w:rsidRPr="00B334C5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bg-BG" w:bidi="en-US"/>
            </w:rPr>
            <w:t>з</w:t>
          </w:r>
          <w:r w:rsidR="0077704D" w:rsidRPr="00B334C5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bg-BG" w:bidi="en-US"/>
            </w:rPr>
            <w:t>а добр</w:t>
          </w:r>
          <w:r w:rsidR="002575C5" w:rsidRPr="00B334C5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bg-BG" w:bidi="en-US"/>
            </w:rPr>
            <w:t>и</w:t>
          </w:r>
          <w:r w:rsidR="0077704D" w:rsidRPr="00B334C5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bg-BG" w:bidi="en-US"/>
            </w:rPr>
            <w:t xml:space="preserve"> практик</w:t>
          </w:r>
          <w:r w:rsidR="002575C5" w:rsidRPr="00B334C5">
            <w:rPr>
              <w:rStyle w:val="Hyperlink"/>
              <w:rFonts w:ascii="Times New Roman" w:hAnsi="Times New Roman" w:cs="Times New Roman"/>
              <w:noProof/>
              <w:color w:val="auto"/>
              <w:sz w:val="24"/>
              <w:szCs w:val="24"/>
              <w:u w:val="none"/>
              <w:lang w:val="bg-BG" w:bidi="en-US"/>
            </w:rPr>
            <w:t>и</w:t>
          </w:r>
        </w:p>
        <w:p w:rsidR="000E7B34" w:rsidRPr="00856424" w:rsidRDefault="0045075B" w:rsidP="00B334C5">
          <w:pPr>
            <w:spacing w:line="360" w:lineRule="auto"/>
            <w:jc w:val="both"/>
            <w:rPr>
              <w:noProof/>
            </w:rPr>
          </w:pPr>
          <w:r w:rsidRPr="00B334C5">
            <w:rPr>
              <w:b/>
              <w:noProof/>
              <w:lang w:bidi="en-US"/>
            </w:rPr>
            <w:fldChar w:fldCharType="end"/>
          </w:r>
        </w:p>
      </w:sdtContent>
    </w:sdt>
    <w:p w:rsidR="00485634" w:rsidRPr="008B1ED4" w:rsidRDefault="00FF2F70" w:rsidP="008B1ED4">
      <w:pPr>
        <w:pStyle w:val="ListParagraph"/>
        <w:numPr>
          <w:ilvl w:val="0"/>
          <w:numId w:val="12"/>
        </w:numPr>
        <w:spacing w:line="360" w:lineRule="auto"/>
        <w:jc w:val="both"/>
        <w:rPr>
          <w:rFonts w:eastAsiaTheme="minorHAnsi"/>
          <w:b/>
          <w:lang w:eastAsia="en-US"/>
        </w:rPr>
      </w:pPr>
      <w:r w:rsidRPr="00485634">
        <w:rPr>
          <w:rFonts w:eastAsiaTheme="minorHAnsi"/>
          <w:b/>
          <w:lang w:eastAsia="en-US"/>
        </w:rPr>
        <w:t>Исторически тенденции и развитие на дигиталната трансформация в страната партньор</w:t>
      </w:r>
    </w:p>
    <w:p w:rsidR="00FF2F70" w:rsidRPr="00856424" w:rsidRDefault="00FF2F70" w:rsidP="00B334C5">
      <w:pPr>
        <w:spacing w:line="360" w:lineRule="auto"/>
        <w:ind w:left="720"/>
        <w:jc w:val="both"/>
        <w:rPr>
          <w:rFonts w:eastAsiaTheme="minorHAnsi"/>
          <w:b/>
          <w:lang w:eastAsia="en-US"/>
        </w:rPr>
      </w:pPr>
      <w:r w:rsidRPr="00856424">
        <w:rPr>
          <w:rFonts w:eastAsiaTheme="minorHAnsi"/>
          <w:b/>
          <w:lang w:eastAsia="en-US"/>
        </w:rPr>
        <w:t>1.</w:t>
      </w:r>
      <w:proofErr w:type="spellStart"/>
      <w:r w:rsidRPr="00856424">
        <w:rPr>
          <w:rFonts w:eastAsiaTheme="minorHAnsi"/>
          <w:b/>
          <w:lang w:eastAsia="en-US"/>
        </w:rPr>
        <w:t>1</w:t>
      </w:r>
      <w:proofErr w:type="spellEnd"/>
      <w:r w:rsidRPr="00856424">
        <w:rPr>
          <w:rFonts w:eastAsiaTheme="minorHAnsi"/>
          <w:b/>
          <w:lang w:eastAsia="en-US"/>
        </w:rPr>
        <w:t>.</w:t>
      </w:r>
      <w:r w:rsidRPr="00856424">
        <w:rPr>
          <w:rFonts w:eastAsiaTheme="minorHAnsi"/>
          <w:b/>
          <w:lang w:eastAsia="en-US"/>
        </w:rPr>
        <w:tab/>
        <w:t>Структура на икономиката в България</w:t>
      </w:r>
      <w:r w:rsidRPr="00856424">
        <w:rPr>
          <w:rStyle w:val="FootnoteReference"/>
          <w:rFonts w:eastAsiaTheme="minorHAnsi"/>
          <w:lang w:eastAsia="en-US"/>
        </w:rPr>
        <w:footnoteReference w:id="1"/>
      </w:r>
    </w:p>
    <w:p w:rsidR="00FF2F70" w:rsidRPr="00856424" w:rsidRDefault="00FF2F70" w:rsidP="00B334C5">
      <w:pPr>
        <w:spacing w:line="360" w:lineRule="auto"/>
        <w:ind w:firstLine="72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Брутният вътрешен продукт (БВП) по текущи цени за първото тримесечие на 2021 г. възлиза на 27 054 </w:t>
      </w:r>
      <w:r w:rsidRPr="00687FCE">
        <w:rPr>
          <w:rFonts w:eastAsiaTheme="minorHAnsi"/>
          <w:lang w:eastAsia="en-US"/>
        </w:rPr>
        <w:t>млн. л</w:t>
      </w:r>
      <w:r w:rsidR="00707A1F" w:rsidRPr="00687FCE">
        <w:rPr>
          <w:rFonts w:eastAsiaTheme="minorHAnsi"/>
          <w:lang w:eastAsia="en-US"/>
        </w:rPr>
        <w:t>в.</w:t>
      </w:r>
      <w:r w:rsidRPr="00687FCE">
        <w:rPr>
          <w:rFonts w:eastAsiaTheme="minorHAnsi"/>
          <w:lang w:eastAsia="en-US"/>
        </w:rPr>
        <w:t xml:space="preserve"> (</w:t>
      </w:r>
      <w:r w:rsidRPr="00856424">
        <w:rPr>
          <w:rFonts w:eastAsiaTheme="minorHAnsi"/>
          <w:lang w:eastAsia="en-US"/>
        </w:rPr>
        <w:t xml:space="preserve">по предварителни данни). БВП на човек от населението е 3 912 лв. В евро БВП достига 13 833 млн. евро общо и 2 000 </w:t>
      </w:r>
      <w:r w:rsidRPr="00687FCE">
        <w:rPr>
          <w:rFonts w:eastAsiaTheme="minorHAnsi"/>
          <w:lang w:eastAsia="en-US"/>
        </w:rPr>
        <w:t>евро</w:t>
      </w:r>
      <w:r w:rsidRPr="00856424">
        <w:rPr>
          <w:rFonts w:eastAsiaTheme="minorHAnsi"/>
          <w:lang w:eastAsia="en-US"/>
        </w:rPr>
        <w:t xml:space="preserve"> на човек. Сезонно коригираните данни показват спад от 1,8% в сравнение с първото тримесечие на 2020 г. и увеличение от 2,5% в сравнение с четвъртото тримесечие на 2020 г. </w:t>
      </w:r>
    </w:p>
    <w:p w:rsidR="00FF2F70" w:rsidRPr="00856424" w:rsidRDefault="00FF2F70" w:rsidP="00B334C5">
      <w:p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ab/>
        <w:t xml:space="preserve">Най-голям принос (21,7 %) към </w:t>
      </w:r>
      <w:r w:rsidR="00707A1F" w:rsidRPr="00856424">
        <w:rPr>
          <w:rFonts w:eastAsiaTheme="minorHAnsi"/>
          <w:lang w:eastAsia="en-US"/>
        </w:rPr>
        <w:t>националната</w:t>
      </w:r>
      <w:r w:rsidR="0028734D">
        <w:rPr>
          <w:rFonts w:eastAsiaTheme="minorHAnsi"/>
          <w:lang w:eastAsia="en-US"/>
        </w:rPr>
        <w:t xml:space="preserve"> </w:t>
      </w:r>
      <w:r w:rsidR="00707A1F" w:rsidRPr="00856424">
        <w:rPr>
          <w:rFonts w:eastAsiaTheme="minorHAnsi"/>
          <w:lang w:eastAsia="en-US"/>
        </w:rPr>
        <w:t>брутна</w:t>
      </w:r>
      <w:r w:rsidRPr="00856424">
        <w:rPr>
          <w:rFonts w:eastAsiaTheme="minorHAnsi"/>
          <w:lang w:eastAsia="en-US"/>
        </w:rPr>
        <w:t xml:space="preserve"> добавена стойност през 2020 г. имат секторите </w:t>
      </w:r>
      <w:r w:rsidR="005C0676" w:rsidRPr="004A4163">
        <w:rPr>
          <w:rFonts w:eastAsiaTheme="minorHAnsi"/>
          <w:lang w:eastAsia="en-US"/>
        </w:rPr>
        <w:t xml:space="preserve">от B до </w:t>
      </w:r>
      <w:r w:rsidR="00707A1F" w:rsidRPr="004A4163">
        <w:rPr>
          <w:rFonts w:eastAsiaTheme="minorHAnsi"/>
          <w:lang w:eastAsia="en-US"/>
        </w:rPr>
        <w:t>E</w:t>
      </w:r>
      <w:r w:rsidRPr="004A4163">
        <w:rPr>
          <w:rFonts w:eastAsiaTheme="minorHAnsi"/>
          <w:lang w:eastAsia="en-US"/>
        </w:rPr>
        <w:t xml:space="preserve"> (</w:t>
      </w:r>
      <w:proofErr w:type="spellStart"/>
      <w:r w:rsidRPr="004A4163">
        <w:rPr>
          <w:rFonts w:eastAsiaTheme="minorHAnsi"/>
          <w:lang w:eastAsia="en-US"/>
        </w:rPr>
        <w:t>Добивна</w:t>
      </w:r>
      <w:proofErr w:type="spellEnd"/>
      <w:r w:rsidRPr="004A4163">
        <w:rPr>
          <w:rFonts w:eastAsiaTheme="minorHAnsi"/>
          <w:lang w:eastAsia="en-US"/>
        </w:rPr>
        <w:t xml:space="preserve"> промишленост; преработваща промишленост; производство и разпределение на електрическа и топлинна енергия и на газообразни горива и климатични инсталации; доставяне на води; канализационни услуги, управление на отпадъци и възстановяване). Най-голям принос имат секторите </w:t>
      </w:r>
      <w:r w:rsidR="005C0676" w:rsidRPr="004A4163">
        <w:rPr>
          <w:rFonts w:eastAsiaTheme="minorHAnsi"/>
          <w:lang w:eastAsia="en-US"/>
        </w:rPr>
        <w:t xml:space="preserve">от G до </w:t>
      </w:r>
      <w:r w:rsidRPr="004A4163">
        <w:rPr>
          <w:rFonts w:eastAsiaTheme="minorHAnsi"/>
          <w:lang w:eastAsia="en-US"/>
        </w:rPr>
        <w:t xml:space="preserve">I (Търговия на </w:t>
      </w:r>
      <w:r w:rsidRPr="004A4163">
        <w:rPr>
          <w:rFonts w:eastAsiaTheme="minorHAnsi"/>
          <w:lang w:eastAsia="en-US"/>
        </w:rPr>
        <w:lastRenderedPageBreak/>
        <w:t xml:space="preserve">едро и дребно; ремонт на автомобили и мотоциклети; транспорт и складиране; хотелиерство и ресторантьорство) и </w:t>
      </w:r>
      <w:r w:rsidR="001E0D63" w:rsidRPr="004A4163">
        <w:rPr>
          <w:rFonts w:eastAsiaTheme="minorHAnsi"/>
          <w:lang w:eastAsia="en-US"/>
        </w:rPr>
        <w:t xml:space="preserve">секторите </w:t>
      </w:r>
      <w:r w:rsidR="005C0676" w:rsidRPr="004A4163">
        <w:rPr>
          <w:rFonts w:eastAsiaTheme="minorHAnsi"/>
          <w:lang w:eastAsia="en-US"/>
        </w:rPr>
        <w:t xml:space="preserve">от O до </w:t>
      </w:r>
      <w:r w:rsidRPr="004A4163">
        <w:rPr>
          <w:rFonts w:eastAsiaTheme="minorHAnsi"/>
          <w:lang w:eastAsia="en-US"/>
        </w:rPr>
        <w:t>Q (</w:t>
      </w:r>
      <w:r w:rsidRPr="00856424">
        <w:rPr>
          <w:rFonts w:eastAsiaTheme="minorHAnsi"/>
          <w:lang w:eastAsia="en-US"/>
        </w:rPr>
        <w:t>Държавно управление и отбрана; задължително обществено осигуряване; образование; хуманно здравеопазване и социална работа), които представляват 19,0% и 17,1% от брутната добавена стойност (БДС) през 2020 г. Сектор "Селско, горско и рибно стопанство" възлиза</w:t>
      </w:r>
      <w:r w:rsidR="004E49E0">
        <w:rPr>
          <w:rFonts w:eastAsiaTheme="minorHAnsi"/>
          <w:lang w:eastAsia="en-US"/>
        </w:rPr>
        <w:t xml:space="preserve"> на 3,9 % от БДС. Сектор „Информация и комуникации”</w:t>
      </w:r>
      <w:r w:rsidRPr="00856424">
        <w:rPr>
          <w:rFonts w:eastAsiaTheme="minorHAnsi"/>
          <w:lang w:eastAsia="en-US"/>
        </w:rPr>
        <w:t xml:space="preserve"> формира 8,0% от националната БДС през 2020 г. </w:t>
      </w:r>
      <w:r w:rsidR="00450AE3">
        <w:rPr>
          <w:rFonts w:eastAsiaTheme="minorHAnsi"/>
          <w:lang w:eastAsia="en-US"/>
        </w:rPr>
        <w:t xml:space="preserve">    </w:t>
      </w:r>
    </w:p>
    <w:p w:rsidR="00293153" w:rsidRPr="00856424" w:rsidRDefault="00293153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През 2019 г. броят на нефинансовите предприятия е 419 681. Когато се групират по големина, </w:t>
      </w:r>
      <w:proofErr w:type="spellStart"/>
      <w:r w:rsidRPr="00856424">
        <w:rPr>
          <w:rFonts w:eastAsiaTheme="minorHAnsi"/>
          <w:lang w:eastAsia="en-US"/>
        </w:rPr>
        <w:t>микропредприятията</w:t>
      </w:r>
      <w:proofErr w:type="spellEnd"/>
      <w:r w:rsidRPr="00856424">
        <w:rPr>
          <w:rFonts w:eastAsiaTheme="minorHAnsi"/>
          <w:lang w:eastAsia="en-US"/>
        </w:rPr>
        <w:t xml:space="preserve"> (0-9 заети) преобладават по брой (388 980 или 92,7% от всички нефинансови предприятия), следвани от малките предприятия</w:t>
      </w:r>
      <w:r w:rsidRPr="00856424">
        <w:rPr>
          <w:rFonts w:eastAsiaTheme="minorHAnsi"/>
          <w:vertAlign w:val="superscript"/>
          <w:lang w:eastAsia="en-US"/>
        </w:rPr>
        <w:footnoteReference w:id="2"/>
      </w:r>
      <w:r w:rsidRPr="00856424">
        <w:rPr>
          <w:rFonts w:eastAsiaTheme="minorHAnsi"/>
          <w:lang w:eastAsia="en-US"/>
        </w:rPr>
        <w:t xml:space="preserve"> (25 204 или 6,0%) и средните предприятия (4738 или 1,1%). Големите предприятия представляват едва 0,2 % от всички нефинансови предприятия през 2019 г. Малките и средни предприятия (МСП) могат да бъдат посочени като гръбнака на българската икономика, като осигуряват потенциален източник на работни места и икономически растеж. Когато се групират по икономически дейности, нефинансовите предприятия са концентрирани неравномерно в цялата икономика. Разделите на NACE</w:t>
      </w:r>
      <w:r w:rsidR="004A4163">
        <w:rPr>
          <w:rFonts w:eastAsiaTheme="minorHAnsi"/>
          <w:lang w:eastAsia="en-US"/>
        </w:rPr>
        <w:t xml:space="preserve"> (</w:t>
      </w:r>
      <w:r w:rsidR="004A4163" w:rsidRPr="004A4163">
        <w:rPr>
          <w:rFonts w:eastAsiaTheme="minorHAnsi"/>
          <w:lang w:eastAsia="en-US"/>
        </w:rPr>
        <w:t>европейската статистическа класификация на икономическите дейности)</w:t>
      </w:r>
      <w:r w:rsidRPr="00856424">
        <w:rPr>
          <w:rFonts w:eastAsiaTheme="minorHAnsi"/>
          <w:lang w:eastAsia="en-US"/>
        </w:rPr>
        <w:t xml:space="preserve">, в които могат да бъдат открити повечето предприятия, включват: Търговия на едро и дребно; Ремонт на автомобили и мотоциклети (34,2% от всички нефинансови предприятия работят в сектора); Професионални, научни и технически дейности (11,5% от всички нефинансови предприятия); Преработваща промишленост (7,5% от всички нефинансови предприятия); Хотелиерство и ресторантьорство (6,5% от всички нефинансови предприятия); Операции с недвижими имоти (6,0% от всички нефинансови предприятия). </w:t>
      </w:r>
    </w:p>
    <w:p w:rsidR="00293153" w:rsidRDefault="00293153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Официалните статистически данни за първото тримесечие на 2021 г. показват 3 милиона заети лица и 204 хиляди безработни. Съответно</w:t>
      </w:r>
      <w:r w:rsidR="002A3790">
        <w:rPr>
          <w:rFonts w:eastAsiaTheme="minorHAnsi"/>
          <w:lang w:eastAsia="en-US"/>
        </w:rPr>
        <w:t xml:space="preserve"> коефициентът на заетост е 51,4</w:t>
      </w:r>
      <w:r w:rsidRPr="00856424">
        <w:rPr>
          <w:rFonts w:eastAsiaTheme="minorHAnsi"/>
          <w:lang w:eastAsia="en-US"/>
        </w:rPr>
        <w:t>%.</w:t>
      </w:r>
      <w:r w:rsidRPr="00856424">
        <w:rPr>
          <w:rFonts w:eastAsiaTheme="minorHAnsi"/>
          <w:vertAlign w:val="superscript"/>
          <w:lang w:eastAsia="en-US"/>
        </w:rPr>
        <w:footnoteReference w:id="3"/>
      </w:r>
      <w:r w:rsidRPr="00856424">
        <w:rPr>
          <w:rFonts w:eastAsiaTheme="minorHAnsi"/>
          <w:lang w:eastAsia="en-US"/>
        </w:rPr>
        <w:t xml:space="preserve"> Въпреки ниската безработица и целенасочената политика на правителствот</w:t>
      </w:r>
      <w:r w:rsidR="002A3790">
        <w:rPr>
          <w:rFonts w:eastAsiaTheme="minorHAnsi"/>
          <w:lang w:eastAsia="en-US"/>
        </w:rPr>
        <w:t>о в областта на заетостта, 25,0</w:t>
      </w:r>
      <w:r w:rsidRPr="00856424">
        <w:rPr>
          <w:rFonts w:eastAsiaTheme="minorHAnsi"/>
          <w:lang w:eastAsia="en-US"/>
        </w:rPr>
        <w:t xml:space="preserve">% от промишлените предприятия посочват недостига на работна ръка като фактор, ограничаващ дейността им (данни, предоставени от </w:t>
      </w:r>
      <w:r w:rsidR="00477274" w:rsidRPr="00856424">
        <w:rPr>
          <w:rFonts w:eastAsiaTheme="minorHAnsi"/>
          <w:lang w:eastAsia="en-US"/>
        </w:rPr>
        <w:t xml:space="preserve">националните статистически справки за </w:t>
      </w:r>
      <w:r w:rsidRPr="00856424">
        <w:rPr>
          <w:rFonts w:eastAsiaTheme="minorHAnsi"/>
          <w:lang w:eastAsia="en-US"/>
        </w:rPr>
        <w:t>бизнес</w:t>
      </w:r>
      <w:r w:rsidR="00477274" w:rsidRPr="00856424">
        <w:rPr>
          <w:rFonts w:eastAsiaTheme="minorHAnsi"/>
          <w:lang w:eastAsia="en-US"/>
        </w:rPr>
        <w:t>а</w:t>
      </w:r>
      <w:r w:rsidR="002A3790">
        <w:rPr>
          <w:rFonts w:eastAsiaTheme="minorHAnsi"/>
          <w:lang w:eastAsia="en-US"/>
        </w:rPr>
        <w:t xml:space="preserve"> </w:t>
      </w:r>
      <w:r w:rsidR="00477274" w:rsidRPr="00856424">
        <w:rPr>
          <w:rFonts w:eastAsiaTheme="minorHAnsi"/>
          <w:lang w:eastAsia="en-US"/>
        </w:rPr>
        <w:t xml:space="preserve">през </w:t>
      </w:r>
      <w:r w:rsidRPr="00856424">
        <w:rPr>
          <w:rFonts w:eastAsiaTheme="minorHAnsi"/>
          <w:lang w:eastAsia="en-US"/>
        </w:rPr>
        <w:t>юни 2021 г.)</w:t>
      </w:r>
      <w:r w:rsidR="00477274" w:rsidRPr="00856424">
        <w:rPr>
          <w:rFonts w:eastAsiaTheme="minorHAnsi"/>
          <w:lang w:eastAsia="en-US"/>
        </w:rPr>
        <w:t xml:space="preserve">. А равнището на безработица </w:t>
      </w:r>
      <w:r w:rsidRPr="00856424">
        <w:rPr>
          <w:rFonts w:eastAsiaTheme="minorHAnsi"/>
          <w:lang w:eastAsia="en-US"/>
        </w:rPr>
        <w:t xml:space="preserve">е 6,3%. Намаляващото предлагане на работна ръка, заедно с </w:t>
      </w:r>
      <w:r w:rsidR="00413C35" w:rsidRPr="00856424">
        <w:rPr>
          <w:rFonts w:eastAsiaTheme="minorHAnsi"/>
          <w:lang w:eastAsia="en-US"/>
        </w:rPr>
        <w:t xml:space="preserve">мерките за </w:t>
      </w:r>
      <w:r w:rsidR="00413C35" w:rsidRPr="00856424">
        <w:rPr>
          <w:rFonts w:eastAsiaTheme="minorHAnsi"/>
          <w:lang w:eastAsia="en-US"/>
        </w:rPr>
        <w:lastRenderedPageBreak/>
        <w:t xml:space="preserve">преодоляване на икономическите последствия от пандемията предприети </w:t>
      </w:r>
      <w:r w:rsidRPr="00856424">
        <w:rPr>
          <w:rFonts w:eastAsiaTheme="minorHAnsi"/>
          <w:lang w:eastAsia="en-US"/>
        </w:rPr>
        <w:t>от страна на правителството и увеличаването на броя на висококвал</w:t>
      </w:r>
      <w:r w:rsidR="00477274" w:rsidRPr="00856424">
        <w:rPr>
          <w:rFonts w:eastAsiaTheme="minorHAnsi"/>
          <w:lang w:eastAsia="en-US"/>
        </w:rPr>
        <w:t>ифицираните работници, допринася</w:t>
      </w:r>
      <w:r w:rsidR="00413C35" w:rsidRPr="00856424">
        <w:rPr>
          <w:rFonts w:eastAsiaTheme="minorHAnsi"/>
          <w:lang w:eastAsia="en-US"/>
        </w:rPr>
        <w:t>т</w:t>
      </w:r>
      <w:r w:rsidRPr="00856424">
        <w:rPr>
          <w:rFonts w:eastAsiaTheme="minorHAnsi"/>
          <w:lang w:eastAsia="en-US"/>
        </w:rPr>
        <w:t xml:space="preserve"> положително за нивото на възнагражденията в цялата страна. Общите почасови разходи за труд на</w:t>
      </w:r>
      <w:r w:rsidR="00477274" w:rsidRPr="00856424">
        <w:rPr>
          <w:rFonts w:eastAsiaTheme="minorHAnsi"/>
          <w:lang w:eastAsia="en-US"/>
        </w:rPr>
        <w:t>растват</w:t>
      </w:r>
      <w:r w:rsidRPr="00856424">
        <w:rPr>
          <w:rFonts w:eastAsiaTheme="minorHAnsi"/>
          <w:lang w:eastAsia="en-US"/>
        </w:rPr>
        <w:t xml:space="preserve"> с 4,9% в сравнение с първото тримесечие на 2020 г. През март 2021</w:t>
      </w:r>
      <w:r w:rsidR="00477274" w:rsidRPr="00856424">
        <w:rPr>
          <w:rFonts w:eastAsiaTheme="minorHAnsi"/>
          <w:lang w:eastAsia="en-US"/>
        </w:rPr>
        <w:t xml:space="preserve"> г. средната работна заплата е 1 500 лв. и нараства</w:t>
      </w:r>
      <w:r w:rsidRPr="00856424">
        <w:rPr>
          <w:rFonts w:eastAsiaTheme="minorHAnsi"/>
          <w:lang w:eastAsia="en-US"/>
        </w:rPr>
        <w:t xml:space="preserve"> с 4,8% спрямо предходния месец и с 13,6% спрямо март 2020 г. </w:t>
      </w:r>
    </w:p>
    <w:p w:rsidR="00485634" w:rsidRPr="00856424" w:rsidRDefault="00485634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</w:p>
    <w:p w:rsidR="00320C48" w:rsidRPr="00160C13" w:rsidRDefault="00160C13" w:rsidP="00160C13">
      <w:pPr>
        <w:pStyle w:val="ListParagraph"/>
        <w:numPr>
          <w:ilvl w:val="1"/>
          <w:numId w:val="11"/>
        </w:numPr>
        <w:spacing w:line="36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="002A3790" w:rsidRPr="00160C13">
        <w:rPr>
          <w:rFonts w:eastAsiaTheme="minorHAnsi"/>
          <w:b/>
          <w:lang w:eastAsia="en-US"/>
        </w:rPr>
        <w:t>Последни</w:t>
      </w:r>
      <w:r w:rsidR="00FD1867" w:rsidRPr="00160C13">
        <w:rPr>
          <w:rFonts w:eastAsiaTheme="minorHAnsi"/>
          <w:b/>
          <w:lang w:eastAsia="en-US"/>
        </w:rPr>
        <w:t xml:space="preserve"> развития</w:t>
      </w:r>
    </w:p>
    <w:p w:rsidR="00AA33B6" w:rsidRPr="00856424" w:rsidRDefault="00AA33B6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Навлизането и развитието на </w:t>
      </w:r>
      <w:r w:rsidRPr="007939D1">
        <w:rPr>
          <w:rFonts w:eastAsiaTheme="minorHAnsi"/>
          <w:lang w:eastAsia="en-US"/>
        </w:rPr>
        <w:t>цифровите</w:t>
      </w:r>
      <w:r w:rsidRPr="00856424">
        <w:rPr>
          <w:rFonts w:eastAsiaTheme="minorHAnsi"/>
          <w:lang w:eastAsia="en-US"/>
        </w:rPr>
        <w:t xml:space="preserve"> технологии се анализират от различни заинтересовани страни в страната. Данните сочат, че в България има голям брой играчи в </w:t>
      </w:r>
      <w:r w:rsidR="00D22BD3" w:rsidRPr="00856424">
        <w:rPr>
          <w:rFonts w:eastAsiaTheme="minorHAnsi"/>
          <w:lang w:eastAsia="en-US"/>
        </w:rPr>
        <w:t>областта</w:t>
      </w:r>
      <w:r w:rsidRPr="00856424">
        <w:rPr>
          <w:rFonts w:eastAsiaTheme="minorHAnsi"/>
          <w:lang w:eastAsia="en-US"/>
        </w:rPr>
        <w:t xml:space="preserve"> на изкуствения ин</w:t>
      </w:r>
      <w:r w:rsidR="007939D1">
        <w:rPr>
          <w:rFonts w:eastAsiaTheme="minorHAnsi"/>
          <w:lang w:eastAsia="en-US"/>
        </w:rPr>
        <w:t>телект (ИИ), както и енергичен</w:t>
      </w:r>
      <w:r w:rsidRPr="00856424">
        <w:rPr>
          <w:rFonts w:eastAsiaTheme="minorHAnsi"/>
          <w:lang w:eastAsia="en-US"/>
        </w:rPr>
        <w:t xml:space="preserve"> местен частен сектор, който успешно се конкурира на международно нив</w:t>
      </w:r>
      <w:r w:rsidR="00D22BD3" w:rsidRPr="00856424">
        <w:rPr>
          <w:rFonts w:eastAsiaTheme="minorHAnsi"/>
          <w:lang w:eastAsia="en-US"/>
        </w:rPr>
        <w:t>о в области като машиностроене</w:t>
      </w:r>
      <w:r w:rsidRPr="00856424">
        <w:rPr>
          <w:rFonts w:eastAsiaTheme="minorHAnsi"/>
          <w:lang w:eastAsia="en-US"/>
        </w:rPr>
        <w:t xml:space="preserve"> и ИТ. Според проучването </w:t>
      </w:r>
      <w:proofErr w:type="spellStart"/>
      <w:r w:rsidRPr="00856424">
        <w:rPr>
          <w:rFonts w:eastAsiaTheme="minorHAnsi"/>
          <w:lang w:eastAsia="en-US"/>
        </w:rPr>
        <w:t>InnovationShip</w:t>
      </w:r>
      <w:proofErr w:type="spellEnd"/>
      <w:r w:rsidRPr="00856424">
        <w:rPr>
          <w:rFonts w:eastAsiaTheme="minorHAnsi"/>
          <w:lang w:eastAsia="en-US"/>
        </w:rPr>
        <w:t xml:space="preserve"> 2019, проведено от мрежата EDIT на цифрова България, най-ключовите сегменти на развиващите се дълбоки технологии в България включват изграждан</w:t>
      </w:r>
      <w:r w:rsidR="00D22BD3" w:rsidRPr="00856424">
        <w:rPr>
          <w:rFonts w:eastAsiaTheme="minorHAnsi"/>
          <w:lang w:eastAsia="en-US"/>
        </w:rPr>
        <w:t>е на платформи, анализ на голям обем от</w:t>
      </w:r>
      <w:r w:rsidRPr="00856424">
        <w:rPr>
          <w:rFonts w:eastAsiaTheme="minorHAnsi"/>
          <w:lang w:eastAsia="en-US"/>
        </w:rPr>
        <w:t xml:space="preserve"> данни, машинно обучение и изкуствен интелект, </w:t>
      </w:r>
      <w:proofErr w:type="spellStart"/>
      <w:r w:rsidR="007939D1" w:rsidRPr="00856424">
        <w:rPr>
          <w:rFonts w:eastAsiaTheme="minorHAnsi"/>
          <w:lang w:eastAsia="en-US"/>
        </w:rPr>
        <w:t>клауд-компютинг</w:t>
      </w:r>
      <w:proofErr w:type="spellEnd"/>
      <w:r w:rsidR="007939D1" w:rsidRPr="00856424">
        <w:rPr>
          <w:rFonts w:eastAsiaTheme="minorHAnsi"/>
          <w:lang w:eastAsia="en-US"/>
        </w:rPr>
        <w:t xml:space="preserve"> </w:t>
      </w:r>
      <w:r w:rsidR="007939D1">
        <w:rPr>
          <w:rFonts w:eastAsiaTheme="minorHAnsi"/>
          <w:lang w:eastAsia="en-US"/>
        </w:rPr>
        <w:t>(</w:t>
      </w:r>
      <w:r w:rsidR="00754A3B" w:rsidRPr="00856424">
        <w:rPr>
          <w:rFonts w:eastAsiaTheme="minorHAnsi"/>
          <w:lang w:eastAsia="en-US"/>
        </w:rPr>
        <w:t>д</w:t>
      </w:r>
      <w:r w:rsidR="00BF3D0C" w:rsidRPr="00856424">
        <w:rPr>
          <w:rFonts w:eastAsiaTheme="minorHAnsi"/>
          <w:lang w:eastAsia="en-US"/>
        </w:rPr>
        <w:t xml:space="preserve">аване под </w:t>
      </w:r>
      <w:r w:rsidR="007939D1">
        <w:rPr>
          <w:rFonts w:eastAsiaTheme="minorHAnsi"/>
          <w:lang w:eastAsia="en-US"/>
        </w:rPr>
        <w:t>наем на външна памет в интернет</w:t>
      </w:r>
      <w:r w:rsidR="00754A3B" w:rsidRPr="00856424">
        <w:rPr>
          <w:rFonts w:eastAsiaTheme="minorHAnsi"/>
          <w:lang w:eastAsia="en-US"/>
        </w:rPr>
        <w:t>)</w:t>
      </w:r>
      <w:r w:rsidRPr="00856424">
        <w:rPr>
          <w:rFonts w:eastAsiaTheme="minorHAnsi"/>
          <w:lang w:eastAsia="en-US"/>
        </w:rPr>
        <w:t xml:space="preserve">, системи за автоматизация, </w:t>
      </w:r>
      <w:proofErr w:type="spellStart"/>
      <w:r w:rsidRPr="00856424">
        <w:rPr>
          <w:rFonts w:eastAsiaTheme="minorHAnsi"/>
          <w:lang w:eastAsia="en-US"/>
        </w:rPr>
        <w:t>блокчейн</w:t>
      </w:r>
      <w:proofErr w:type="spellEnd"/>
      <w:r w:rsidRPr="00856424">
        <w:rPr>
          <w:rFonts w:eastAsiaTheme="minorHAnsi"/>
          <w:lang w:eastAsia="en-US"/>
        </w:rPr>
        <w:t xml:space="preserve">/API и </w:t>
      </w:r>
      <w:proofErr w:type="spellStart"/>
      <w:r w:rsidR="00F01A51" w:rsidRPr="00856424">
        <w:rPr>
          <w:rFonts w:eastAsiaTheme="minorHAnsi"/>
          <w:lang w:eastAsia="en-US"/>
        </w:rPr>
        <w:t>Connectivity</w:t>
      </w:r>
      <w:proofErr w:type="spellEnd"/>
      <w:r w:rsidR="00F01A51" w:rsidRPr="00856424">
        <w:rPr>
          <w:rFonts w:eastAsiaTheme="minorHAnsi"/>
          <w:lang w:eastAsia="en-US"/>
        </w:rPr>
        <w:t>/</w:t>
      </w:r>
      <w:proofErr w:type="spellStart"/>
      <w:r w:rsidR="00F01A51" w:rsidRPr="00856424">
        <w:rPr>
          <w:rFonts w:eastAsiaTheme="minorHAnsi"/>
          <w:lang w:eastAsia="en-US"/>
        </w:rPr>
        <w:t>IoT</w:t>
      </w:r>
      <w:proofErr w:type="spellEnd"/>
      <w:r w:rsidRPr="00856424">
        <w:rPr>
          <w:rFonts w:eastAsiaTheme="minorHAnsi"/>
          <w:lang w:eastAsia="en-US"/>
        </w:rPr>
        <w:t xml:space="preserve">. По данни на Българската асоциация на софтуерните компании (БАСКОМ) средното възнаграждение на служителите в софтуерния сектор остава три пъти по-високо от </w:t>
      </w:r>
      <w:r w:rsidR="00735DC2" w:rsidRPr="00856424">
        <w:rPr>
          <w:rFonts w:eastAsiaTheme="minorHAnsi"/>
          <w:lang w:eastAsia="en-US"/>
        </w:rPr>
        <w:t xml:space="preserve">средното за страната, а когато е коригирано чрез ППС, </w:t>
      </w:r>
      <w:r w:rsidRPr="00856424">
        <w:rPr>
          <w:rFonts w:eastAsiaTheme="minorHAnsi"/>
          <w:lang w:eastAsia="en-US"/>
        </w:rPr>
        <w:t xml:space="preserve">става дори по-високо от възнаграждението на колегите им в Обединеното кралство и Германия. </w:t>
      </w:r>
    </w:p>
    <w:p w:rsidR="00AA33B6" w:rsidRPr="00856424" w:rsidRDefault="00AA33B6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От 2013 г. насам делът на сектора на ИКТ в националния БВП непрекъснато</w:t>
      </w:r>
      <w:r w:rsidR="00BF3D0C" w:rsidRPr="00856424">
        <w:rPr>
          <w:rFonts w:eastAsiaTheme="minorHAnsi"/>
          <w:lang w:eastAsia="en-US"/>
        </w:rPr>
        <w:t xml:space="preserve"> нараства и през 2018 г. достиг</w:t>
      </w:r>
      <w:r w:rsidRPr="00856424">
        <w:rPr>
          <w:rFonts w:eastAsiaTheme="minorHAnsi"/>
          <w:lang w:eastAsia="en-US"/>
        </w:rPr>
        <w:t xml:space="preserve">а 6,1%. В същото време делът на </w:t>
      </w:r>
      <w:r w:rsidR="001F3F46">
        <w:rPr>
          <w:rFonts w:eastAsiaTheme="minorHAnsi"/>
          <w:lang w:eastAsia="en-US"/>
        </w:rPr>
        <w:t>лицата,</w:t>
      </w:r>
      <w:r w:rsidRPr="00856424">
        <w:rPr>
          <w:rFonts w:eastAsiaTheme="minorHAnsi"/>
          <w:lang w:eastAsia="en-US"/>
        </w:rPr>
        <w:t xml:space="preserve"> работещ</w:t>
      </w:r>
      <w:r w:rsidR="001F3F46">
        <w:rPr>
          <w:rFonts w:eastAsiaTheme="minorHAnsi"/>
          <w:lang w:eastAsia="en-US"/>
        </w:rPr>
        <w:t>и в областта на ИКТ,</w:t>
      </w:r>
      <w:r w:rsidRPr="00856424">
        <w:rPr>
          <w:rFonts w:eastAsiaTheme="minorHAnsi"/>
          <w:lang w:eastAsia="en-US"/>
        </w:rPr>
        <w:t xml:space="preserve"> в общата заетост е едва 2,85%. В сравнение с напредналите икономики на ЕС България регистрира висок процент на разходите на бизнеса за научноизследователска и </w:t>
      </w:r>
      <w:r w:rsidR="00BF3D0C" w:rsidRPr="00856424">
        <w:rPr>
          <w:rFonts w:eastAsiaTheme="minorHAnsi"/>
          <w:lang w:eastAsia="en-US"/>
        </w:rPr>
        <w:t>развойна</w:t>
      </w:r>
      <w:r w:rsidRPr="00856424">
        <w:rPr>
          <w:rFonts w:eastAsiaTheme="minorHAnsi"/>
          <w:lang w:eastAsia="en-US"/>
        </w:rPr>
        <w:t xml:space="preserve"> дейнос</w:t>
      </w:r>
      <w:r w:rsidR="00BF3D0C" w:rsidRPr="00856424">
        <w:rPr>
          <w:rFonts w:eastAsiaTheme="minorHAnsi"/>
          <w:lang w:eastAsia="en-US"/>
        </w:rPr>
        <w:t>т (НИРД) в сектора на ИКТ, като процент</w:t>
      </w:r>
      <w:r w:rsidRPr="00856424">
        <w:rPr>
          <w:rFonts w:eastAsiaTheme="minorHAnsi"/>
          <w:lang w:eastAsia="en-US"/>
        </w:rPr>
        <w:t xml:space="preserve"> от общите разходи за НИРД.</w:t>
      </w:r>
    </w:p>
    <w:p w:rsidR="00A77F12" w:rsidRPr="00856424" w:rsidRDefault="00AA33B6" w:rsidP="001F3F46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Данните за предприятията </w:t>
      </w:r>
      <w:r w:rsidR="001F3F46">
        <w:rPr>
          <w:rFonts w:eastAsiaTheme="minorHAnsi"/>
          <w:lang w:eastAsia="en-US"/>
        </w:rPr>
        <w:t>показват, че почти всички (95,5</w:t>
      </w:r>
      <w:r w:rsidRPr="00856424">
        <w:rPr>
          <w:rFonts w:eastAsiaTheme="minorHAnsi"/>
          <w:lang w:eastAsia="en-US"/>
        </w:rPr>
        <w:t xml:space="preserve">%) предприятия имат достъп до интернет. Въпреки увеличаването на дела на предприятията, предоставящи на служителите си преносими устройства, които позволяват мобилна интернет връзка, България все още е доста под средните за ЕС нива на служителите, оборудвани с такива устройства. Около половината (48,0%) от предприятията все още нямат собствен уебсайт, </w:t>
      </w:r>
      <w:r w:rsidRPr="00856424">
        <w:rPr>
          <w:rFonts w:eastAsiaTheme="minorHAnsi"/>
          <w:lang w:eastAsia="en-US"/>
        </w:rPr>
        <w:lastRenderedPageBreak/>
        <w:t xml:space="preserve">а още по-малко използват платени </w:t>
      </w:r>
      <w:r w:rsidR="00BF3D0C" w:rsidRPr="00856424">
        <w:rPr>
          <w:rFonts w:eastAsiaTheme="minorHAnsi"/>
          <w:lang w:eastAsia="en-US"/>
        </w:rPr>
        <w:t>компютърни услуги в облак</w:t>
      </w:r>
      <w:r w:rsidR="001F3F46">
        <w:rPr>
          <w:rFonts w:eastAsiaTheme="minorHAnsi"/>
          <w:lang w:eastAsia="en-US"/>
        </w:rPr>
        <w:t xml:space="preserve"> </w:t>
      </w:r>
      <w:r w:rsidRPr="00856424">
        <w:rPr>
          <w:rFonts w:eastAsiaTheme="minorHAnsi"/>
          <w:lang w:eastAsia="en-US"/>
        </w:rPr>
        <w:t>(10,9%) или извършват анализ на големи обеми от данни (6,3%).</w:t>
      </w:r>
    </w:p>
    <w:p w:rsidR="00FE564F" w:rsidRPr="00856424" w:rsidRDefault="00AA33B6" w:rsidP="00B334C5">
      <w:pPr>
        <w:spacing w:line="360" w:lineRule="auto"/>
        <w:ind w:firstLine="72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Страната все още е под средното ниво за ЕС по отношение на сигурността: предприятия с официално определена политика за сигурност на ИКТ (19% от българските предприятия в сравнение с 31% в ЕС 27 през 2015 г.); предприятия, които са запознали наетите лица със задълженият</w:t>
      </w:r>
      <w:r w:rsidR="00A77F12" w:rsidRPr="00856424">
        <w:rPr>
          <w:rFonts w:eastAsiaTheme="minorHAnsi"/>
          <w:lang w:eastAsia="en-US"/>
        </w:rPr>
        <w:t>а им по въпроси</w:t>
      </w:r>
      <w:r w:rsidRPr="00856424">
        <w:rPr>
          <w:rFonts w:eastAsiaTheme="minorHAnsi"/>
          <w:lang w:eastAsia="en-US"/>
        </w:rPr>
        <w:t xml:space="preserve"> свързани със сигурността на ИКТ (51% в България, 61% в ЕС</w:t>
      </w:r>
      <w:r w:rsidR="005C11BD" w:rsidRPr="00856424">
        <w:rPr>
          <w:rFonts w:eastAsiaTheme="minorHAnsi"/>
          <w:lang w:eastAsia="en-US"/>
        </w:rPr>
        <w:t xml:space="preserve"> 27 през 2019 г.); предприятия използващи каквато и да е </w:t>
      </w:r>
      <w:r w:rsidR="00A77F12" w:rsidRPr="00856424">
        <w:rPr>
          <w:rFonts w:eastAsiaTheme="minorHAnsi"/>
          <w:lang w:eastAsia="en-US"/>
        </w:rPr>
        <w:t>мярка</w:t>
      </w:r>
      <w:r w:rsidR="001F3F46">
        <w:rPr>
          <w:rFonts w:eastAsiaTheme="minorHAnsi"/>
          <w:lang w:eastAsia="en-US"/>
        </w:rPr>
        <w:t xml:space="preserve"> </w:t>
      </w:r>
      <w:r w:rsidRPr="00856424">
        <w:rPr>
          <w:rFonts w:eastAsiaTheme="minorHAnsi"/>
          <w:lang w:eastAsia="en-US"/>
        </w:rPr>
        <w:t>за сигурност на ИКТ (85% в България, 92% в ЕС 27 през 2019 г.); предприятия, които имат застраховка срещу инциденти, свързани със сигурността на ИКТ (3% в България, 21% в ЕС 27 през 2019 г.).</w:t>
      </w:r>
    </w:p>
    <w:p w:rsidR="00AA33B6" w:rsidRPr="00856424" w:rsidRDefault="00AA33B6" w:rsidP="00B334C5">
      <w:pPr>
        <w:spacing w:line="360" w:lineRule="auto"/>
        <w:ind w:firstLine="72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Около половината от българските МСП все още не разполагат с иновационна стратегия. Около една трета от МСП съобщават, че персоналът им не притежава никакви </w:t>
      </w:r>
      <w:r w:rsidR="003B2872" w:rsidRPr="00856424">
        <w:rPr>
          <w:rFonts w:eastAsiaTheme="minorHAnsi"/>
          <w:lang w:eastAsia="en-US"/>
        </w:rPr>
        <w:t>дигитални</w:t>
      </w:r>
      <w:r w:rsidR="001F3F46">
        <w:rPr>
          <w:rFonts w:eastAsiaTheme="minorHAnsi"/>
          <w:lang w:eastAsia="en-US"/>
        </w:rPr>
        <w:t xml:space="preserve"> умения, а 38</w:t>
      </w:r>
      <w:r w:rsidRPr="00856424">
        <w:rPr>
          <w:rFonts w:eastAsiaTheme="minorHAnsi"/>
          <w:lang w:eastAsia="en-US"/>
        </w:rPr>
        <w:t xml:space="preserve">% съобщават за трудности при намирането на служители с каквито и да било </w:t>
      </w:r>
      <w:r w:rsidR="003B2872" w:rsidRPr="00856424">
        <w:rPr>
          <w:rFonts w:eastAsiaTheme="minorHAnsi"/>
          <w:lang w:eastAsia="en-US"/>
        </w:rPr>
        <w:t>дигитални</w:t>
      </w:r>
      <w:r w:rsidRPr="00856424">
        <w:rPr>
          <w:rFonts w:eastAsiaTheme="minorHAnsi"/>
          <w:lang w:eastAsia="en-US"/>
        </w:rPr>
        <w:t xml:space="preserve"> умения. МСП все още срещат проблеми при намирането на информация за </w:t>
      </w:r>
      <w:r w:rsidR="003B2872" w:rsidRPr="00856424">
        <w:rPr>
          <w:rFonts w:eastAsiaTheme="minorHAnsi"/>
          <w:lang w:eastAsia="en-US"/>
        </w:rPr>
        <w:t>дигитални</w:t>
      </w:r>
      <w:r w:rsidRPr="00856424">
        <w:rPr>
          <w:rFonts w:eastAsiaTheme="minorHAnsi"/>
          <w:lang w:eastAsia="en-US"/>
        </w:rPr>
        <w:t xml:space="preserve"> проекти/програми, прилагането на инструменти за </w:t>
      </w:r>
      <w:r w:rsidR="00501003" w:rsidRPr="00856424">
        <w:rPr>
          <w:rFonts w:eastAsiaTheme="minorHAnsi"/>
          <w:lang w:eastAsia="en-US"/>
        </w:rPr>
        <w:t>дигитален</w:t>
      </w:r>
      <w:r w:rsidR="001F3F46">
        <w:rPr>
          <w:rFonts w:eastAsiaTheme="minorHAnsi"/>
          <w:lang w:eastAsia="en-US"/>
        </w:rPr>
        <w:t xml:space="preserve"> маркетинг и</w:t>
      </w:r>
      <w:r w:rsidRPr="00856424">
        <w:rPr>
          <w:rFonts w:eastAsiaTheme="minorHAnsi"/>
          <w:lang w:eastAsia="en-US"/>
        </w:rPr>
        <w:t xml:space="preserve"> отделянето на средства за </w:t>
      </w:r>
      <w:r w:rsidR="00501003" w:rsidRPr="00856424">
        <w:rPr>
          <w:rFonts w:eastAsiaTheme="minorHAnsi"/>
          <w:lang w:eastAsia="en-US"/>
        </w:rPr>
        <w:t>дигитална</w:t>
      </w:r>
      <w:r w:rsidRPr="00856424">
        <w:rPr>
          <w:rFonts w:eastAsiaTheme="minorHAnsi"/>
          <w:lang w:eastAsia="en-US"/>
        </w:rPr>
        <w:t xml:space="preserve"> трансформация на бизнес процесите (данни на БТПП за 2019 г.).</w:t>
      </w:r>
    </w:p>
    <w:p w:rsidR="00AA33B6" w:rsidRPr="00856424" w:rsidRDefault="00AA33B6" w:rsidP="00B334C5">
      <w:pPr>
        <w:spacing w:line="360" w:lineRule="auto"/>
        <w:ind w:firstLine="72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Официалните данни за </w:t>
      </w:r>
      <w:r w:rsidR="00FE564F" w:rsidRPr="00856424">
        <w:rPr>
          <w:rFonts w:eastAsiaTheme="minorHAnsi"/>
          <w:lang w:eastAsia="en-US"/>
        </w:rPr>
        <w:t>дигитализацията</w:t>
      </w:r>
      <w:r w:rsidRPr="00856424">
        <w:rPr>
          <w:rFonts w:eastAsiaTheme="minorHAnsi"/>
          <w:lang w:eastAsia="en-US"/>
        </w:rPr>
        <w:t xml:space="preserve"> на обществото сочат, че 78,9 % от българските домакинства имат достъп до интернет у дома; все още обаче съществуват значителни регионални различия по отношение на достъпа. 69,2 % от българите съобщават, че използват интернет редовно (всеки ден или поне веднъж седмично), но най-голям е делът на показателя в рамките на младежката група (до 35 години).  Все пак 20,9 % от българите никога не са използвали интернет (за разлика от тях средната стойност за ЕС-27 е 9 %). Много от </w:t>
      </w:r>
      <w:r w:rsidR="00FE564F" w:rsidRPr="00856424">
        <w:rPr>
          <w:rFonts w:eastAsiaTheme="minorHAnsi"/>
          <w:lang w:eastAsia="en-US"/>
        </w:rPr>
        <w:t>дигиталните</w:t>
      </w:r>
      <w:r w:rsidRPr="00856424">
        <w:rPr>
          <w:rFonts w:eastAsiaTheme="minorHAnsi"/>
          <w:lang w:eastAsia="en-US"/>
        </w:rPr>
        <w:t xml:space="preserve"> умения са недостатъчно развити. Например българите все още срещат трудности при инсталирането и използването</w:t>
      </w:r>
      <w:r w:rsidR="00FE564F" w:rsidRPr="00856424">
        <w:rPr>
          <w:rFonts w:eastAsiaTheme="minorHAnsi"/>
          <w:lang w:eastAsia="en-US"/>
        </w:rPr>
        <w:t xml:space="preserve"> на различни софтуерни продукти и </w:t>
      </w:r>
      <w:r w:rsidRPr="00856424">
        <w:rPr>
          <w:rFonts w:eastAsiaTheme="minorHAnsi"/>
          <w:lang w:eastAsia="en-US"/>
        </w:rPr>
        <w:t>приложения.</w:t>
      </w:r>
    </w:p>
    <w:p w:rsidR="00AA33B6" w:rsidRPr="00856424" w:rsidRDefault="00AA33B6" w:rsidP="00B334C5">
      <w:pPr>
        <w:spacing w:line="360" w:lineRule="auto"/>
        <w:ind w:firstLine="72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Инициативи за обучение, свързани с придобиването на (</w:t>
      </w:r>
      <w:r w:rsidR="001F3F46" w:rsidRPr="001F3F46">
        <w:rPr>
          <w:rFonts w:eastAsiaTheme="minorHAnsi"/>
          <w:lang w:eastAsia="en-US"/>
        </w:rPr>
        <w:t>дигитални/</w:t>
      </w:r>
      <w:r w:rsidRPr="001F3F46">
        <w:rPr>
          <w:rFonts w:eastAsiaTheme="minorHAnsi"/>
          <w:lang w:eastAsia="en-US"/>
        </w:rPr>
        <w:t>цифрови)</w:t>
      </w:r>
      <w:r w:rsidRPr="00856424">
        <w:rPr>
          <w:rFonts w:eastAsiaTheme="minorHAnsi"/>
          <w:lang w:eastAsia="en-US"/>
        </w:rPr>
        <w:t xml:space="preserve"> компетентности, са организирани през годините както от публичния, така и от частния сектор. Специално внимание се обръща на жените, уязвимите младежи и малките деца, така че да се достигне до по-широка аудитория и да се гарантира равен достъп до обучение. Понастоящем програмите за висше образование проявяват интерес към </w:t>
      </w:r>
      <w:r w:rsidRPr="001F3F46">
        <w:rPr>
          <w:rFonts w:eastAsiaTheme="minorHAnsi"/>
          <w:lang w:eastAsia="en-US"/>
        </w:rPr>
        <w:lastRenderedPageBreak/>
        <w:t>цифровите</w:t>
      </w:r>
      <w:r w:rsidRPr="00856424">
        <w:rPr>
          <w:rFonts w:eastAsiaTheme="minorHAnsi"/>
          <w:lang w:eastAsia="en-US"/>
        </w:rPr>
        <w:t xml:space="preserve"> индустриални технологии и вече има налични възможности за обучение. Що се отнася до служителите в публичната администрация, Българският институт по публична администрация (БИПА) осигурява обучение с използване на съвременни технологии, методи и програми. Данните сочат, че само през първата половина на 2021 г. близо 11 000 служители от публичната администрация са участвали в обучени</w:t>
      </w:r>
      <w:r w:rsidR="00FE564F" w:rsidRPr="00856424">
        <w:rPr>
          <w:rFonts w:eastAsiaTheme="minorHAnsi"/>
          <w:lang w:eastAsia="en-US"/>
        </w:rPr>
        <w:t>я</w:t>
      </w:r>
      <w:r w:rsidR="001F3F46">
        <w:rPr>
          <w:rFonts w:eastAsiaTheme="minorHAnsi"/>
          <w:lang w:eastAsia="en-US"/>
        </w:rPr>
        <w:t xml:space="preserve"> </w:t>
      </w:r>
      <w:r w:rsidR="00FE564F" w:rsidRPr="00856424">
        <w:rPr>
          <w:rFonts w:eastAsiaTheme="minorHAnsi"/>
          <w:lang w:eastAsia="en-US"/>
        </w:rPr>
        <w:t>на</w:t>
      </w:r>
      <w:r w:rsidR="001F3F46">
        <w:rPr>
          <w:rFonts w:eastAsiaTheme="minorHAnsi"/>
          <w:lang w:eastAsia="en-US"/>
        </w:rPr>
        <w:t xml:space="preserve"> </w:t>
      </w:r>
      <w:r w:rsidR="00FE564F" w:rsidRPr="00856424">
        <w:rPr>
          <w:rFonts w:eastAsiaTheme="minorHAnsi"/>
          <w:lang w:eastAsia="en-US"/>
        </w:rPr>
        <w:t>Б</w:t>
      </w:r>
      <w:r w:rsidRPr="00856424">
        <w:rPr>
          <w:rFonts w:eastAsiaTheme="minorHAnsi"/>
          <w:lang w:eastAsia="en-US"/>
        </w:rPr>
        <w:t>ИПА.</w:t>
      </w:r>
    </w:p>
    <w:p w:rsidR="001F3F46" w:rsidRDefault="00916D3B" w:rsidP="001F3F46">
      <w:pPr>
        <w:spacing w:line="360" w:lineRule="auto"/>
        <w:ind w:firstLine="72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Въпреки активната правителствена политика, свързана с </w:t>
      </w:r>
      <w:r w:rsidR="00FE564F" w:rsidRPr="00856424">
        <w:rPr>
          <w:rFonts w:eastAsiaTheme="minorHAnsi"/>
          <w:lang w:eastAsia="en-US"/>
        </w:rPr>
        <w:t>дигиталната</w:t>
      </w:r>
      <w:r w:rsidRPr="00856424">
        <w:rPr>
          <w:rFonts w:eastAsiaTheme="minorHAnsi"/>
          <w:lang w:eastAsia="en-US"/>
        </w:rPr>
        <w:t xml:space="preserve"> трансформация на икономиката, България все още е на последно място в различни международни класации. В класацията на IMD за 2020 г. за световната конкурентоспособност в областта на цифровите технологии</w:t>
      </w:r>
      <w:r w:rsidR="005F0CA7" w:rsidRPr="00856424">
        <w:rPr>
          <w:rFonts w:eastAsiaTheme="minorHAnsi"/>
          <w:lang w:eastAsia="en-US"/>
        </w:rPr>
        <w:t>,</w:t>
      </w:r>
      <w:r w:rsidRPr="00856424">
        <w:rPr>
          <w:rFonts w:eastAsiaTheme="minorHAnsi"/>
          <w:lang w:eastAsia="en-US"/>
        </w:rPr>
        <w:t xml:space="preserve"> България е поставена на 45-то място сред 63 изследвани икономики. Според</w:t>
      </w:r>
      <w:r w:rsidR="001F3F46">
        <w:rPr>
          <w:rFonts w:eastAsiaTheme="minorHAnsi"/>
          <w:lang w:eastAsia="en-US"/>
        </w:rPr>
        <w:t xml:space="preserve"> индекса за навлизане</w:t>
      </w:r>
      <w:r w:rsidR="00FE564F" w:rsidRPr="00856424">
        <w:rPr>
          <w:rFonts w:eastAsiaTheme="minorHAnsi"/>
          <w:lang w:eastAsia="en-US"/>
        </w:rPr>
        <w:t xml:space="preserve"> на цифровите технологии в икономиката и обществото (DESI)</w:t>
      </w:r>
      <w:r w:rsidR="001F3F46">
        <w:rPr>
          <w:rFonts w:eastAsiaTheme="minorHAnsi"/>
          <w:lang w:eastAsia="en-US"/>
        </w:rPr>
        <w:t xml:space="preserve">, </w:t>
      </w:r>
      <w:r w:rsidRPr="00856424">
        <w:rPr>
          <w:rFonts w:eastAsiaTheme="minorHAnsi"/>
          <w:lang w:eastAsia="en-US"/>
        </w:rPr>
        <w:t>за 2020 г. България се представя доста под средното ниво за ЕС и в момента има най-ниската оценка по този индекс.</w:t>
      </w:r>
    </w:p>
    <w:p w:rsidR="001F3F46" w:rsidRPr="00856424" w:rsidRDefault="001F3F46" w:rsidP="001F3F46">
      <w:pPr>
        <w:spacing w:line="360" w:lineRule="auto"/>
        <w:ind w:firstLine="720"/>
        <w:jc w:val="both"/>
        <w:rPr>
          <w:rFonts w:eastAsiaTheme="minorHAnsi"/>
          <w:lang w:eastAsia="en-US"/>
        </w:rPr>
      </w:pPr>
    </w:p>
    <w:p w:rsidR="00320C48" w:rsidRPr="00485634" w:rsidRDefault="00916D3B" w:rsidP="00485634">
      <w:pPr>
        <w:pStyle w:val="ListParagraph"/>
        <w:numPr>
          <w:ilvl w:val="1"/>
          <w:numId w:val="11"/>
        </w:numPr>
        <w:spacing w:line="360" w:lineRule="auto"/>
        <w:jc w:val="both"/>
        <w:rPr>
          <w:rFonts w:eastAsiaTheme="minorHAnsi"/>
          <w:b/>
          <w:lang w:eastAsia="en-US"/>
        </w:rPr>
      </w:pPr>
      <w:r w:rsidRPr="00485634">
        <w:rPr>
          <w:rFonts w:eastAsiaTheme="minorHAnsi"/>
          <w:b/>
          <w:lang w:eastAsia="en-US"/>
        </w:rPr>
        <w:t>Прогнози и бъдещо развитие</w:t>
      </w:r>
    </w:p>
    <w:p w:rsidR="00B31EC0" w:rsidRPr="00856424" w:rsidRDefault="00B31EC0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Според доклад на международната консултантска компания "</w:t>
      </w:r>
      <w:proofErr w:type="spellStart"/>
      <w:r w:rsidRPr="00856424">
        <w:rPr>
          <w:rFonts w:eastAsiaTheme="minorHAnsi"/>
          <w:lang w:eastAsia="en-US"/>
        </w:rPr>
        <w:t>Маккинзи</w:t>
      </w:r>
      <w:proofErr w:type="spellEnd"/>
      <w:r w:rsidRPr="00856424">
        <w:rPr>
          <w:rFonts w:eastAsiaTheme="minorHAnsi"/>
          <w:lang w:eastAsia="en-US"/>
        </w:rPr>
        <w:t>" (</w:t>
      </w:r>
      <w:proofErr w:type="spellStart"/>
      <w:r w:rsidRPr="00856424">
        <w:rPr>
          <w:rFonts w:eastAsiaTheme="minorHAnsi"/>
          <w:lang w:eastAsia="en-US"/>
        </w:rPr>
        <w:t>McKinsey</w:t>
      </w:r>
      <w:proofErr w:type="spellEnd"/>
      <w:r w:rsidRPr="00856424">
        <w:rPr>
          <w:rFonts w:eastAsiaTheme="minorHAnsi"/>
          <w:lang w:eastAsia="en-US"/>
        </w:rPr>
        <w:t>) дигитализацията може да бъде следващият голям двигател за устойчив растеж на България, като до 2025 г. ще добавя 1% допълнителен растеж годишно към брутния вътрешен продукт (БВП) на страната.</w:t>
      </w:r>
    </w:p>
    <w:p w:rsidR="00B31EC0" w:rsidRPr="00856424" w:rsidRDefault="00B31EC0" w:rsidP="00B334C5">
      <w:pPr>
        <w:spacing w:line="360" w:lineRule="auto"/>
        <w:ind w:firstLine="72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Оползотворяването на още по-значителни </w:t>
      </w:r>
      <w:r w:rsidR="001F3F46">
        <w:rPr>
          <w:rFonts w:eastAsiaTheme="minorHAnsi"/>
          <w:lang w:eastAsia="en-US"/>
        </w:rPr>
        <w:t>дигитални</w:t>
      </w:r>
      <w:r w:rsidRPr="001F3F46">
        <w:rPr>
          <w:rFonts w:eastAsiaTheme="minorHAnsi"/>
          <w:lang w:eastAsia="en-US"/>
        </w:rPr>
        <w:t xml:space="preserve"> възможности изисква решителни политически интервенции. За да се укрепи </w:t>
      </w:r>
      <w:r w:rsidR="001F3F46">
        <w:rPr>
          <w:rFonts w:eastAsiaTheme="minorHAnsi"/>
          <w:lang w:eastAsia="en-US"/>
        </w:rPr>
        <w:t>дигиталния</w:t>
      </w:r>
      <w:r w:rsidRPr="001F3F46">
        <w:rPr>
          <w:rFonts w:eastAsiaTheme="minorHAnsi"/>
          <w:lang w:eastAsia="en-US"/>
        </w:rPr>
        <w:t xml:space="preserve"> статус на България, бъдещите усилия трябва да се насочат в следните области:</w:t>
      </w:r>
    </w:p>
    <w:p w:rsidR="00B31EC0" w:rsidRPr="00856424" w:rsidRDefault="00B31EC0" w:rsidP="00B334C5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- </w:t>
      </w:r>
      <w:r w:rsidRPr="00856424">
        <w:rPr>
          <w:rFonts w:eastAsiaTheme="minorHAnsi"/>
          <w:b/>
          <w:lang w:eastAsia="en-US"/>
        </w:rPr>
        <w:t xml:space="preserve">изграждане на </w:t>
      </w:r>
      <w:r w:rsidR="005F0CA7" w:rsidRPr="00856424">
        <w:rPr>
          <w:rFonts w:eastAsiaTheme="minorHAnsi"/>
          <w:b/>
          <w:lang w:eastAsia="en-US"/>
        </w:rPr>
        <w:t xml:space="preserve">набор от </w:t>
      </w:r>
      <w:r w:rsidRPr="00856424">
        <w:rPr>
          <w:rFonts w:eastAsiaTheme="minorHAnsi"/>
          <w:b/>
          <w:lang w:eastAsia="en-US"/>
        </w:rPr>
        <w:t>умения</w:t>
      </w:r>
      <w:r w:rsidRPr="00856424">
        <w:rPr>
          <w:rFonts w:eastAsiaTheme="minorHAnsi"/>
          <w:lang w:eastAsia="en-US"/>
        </w:rPr>
        <w:t xml:space="preserve"> за бъдещето чрез разработване на </w:t>
      </w:r>
      <w:proofErr w:type="spellStart"/>
      <w:r w:rsidRPr="00856424">
        <w:rPr>
          <w:rFonts w:eastAsiaTheme="minorHAnsi"/>
          <w:lang w:eastAsia="en-US"/>
        </w:rPr>
        <w:t>широкообхватна</w:t>
      </w:r>
      <w:proofErr w:type="spellEnd"/>
      <w:r w:rsidRPr="00856424">
        <w:rPr>
          <w:rFonts w:eastAsiaTheme="minorHAnsi"/>
          <w:lang w:eastAsia="en-US"/>
        </w:rPr>
        <w:t xml:space="preserve"> стратегия за преквалификация, актуализиране на образованието на младите хора </w:t>
      </w:r>
      <w:r w:rsidR="005F0CA7" w:rsidRPr="00856424">
        <w:rPr>
          <w:rFonts w:eastAsiaTheme="minorHAnsi"/>
          <w:lang w:eastAsia="en-US"/>
        </w:rPr>
        <w:t>с оглед на</w:t>
      </w:r>
      <w:r w:rsidRPr="00856424">
        <w:rPr>
          <w:rFonts w:eastAsiaTheme="minorHAnsi"/>
          <w:lang w:eastAsia="en-US"/>
        </w:rPr>
        <w:t xml:space="preserve"> бъдещето и активно противодействие на изтичането на мозъци;</w:t>
      </w:r>
    </w:p>
    <w:p w:rsidR="00B31EC0" w:rsidRPr="00856424" w:rsidRDefault="00B31EC0" w:rsidP="00B334C5">
      <w:pPr>
        <w:spacing w:line="360" w:lineRule="auto"/>
        <w:contextualSpacing/>
        <w:jc w:val="both"/>
        <w:rPr>
          <w:rFonts w:eastAsiaTheme="minorHAnsi"/>
          <w:b/>
          <w:lang w:eastAsia="en-US"/>
        </w:rPr>
      </w:pPr>
      <w:r w:rsidRPr="00856424">
        <w:rPr>
          <w:rFonts w:eastAsiaTheme="minorHAnsi"/>
          <w:b/>
          <w:lang w:eastAsia="en-US"/>
        </w:rPr>
        <w:t xml:space="preserve">- </w:t>
      </w:r>
      <w:r w:rsidRPr="00856424">
        <w:rPr>
          <w:rFonts w:eastAsiaTheme="minorHAnsi"/>
          <w:lang w:eastAsia="en-US"/>
        </w:rPr>
        <w:t xml:space="preserve">хората трябва да се подготвят за цифровата икономика и </w:t>
      </w:r>
      <w:r w:rsidRPr="00856424">
        <w:rPr>
          <w:rFonts w:eastAsiaTheme="minorHAnsi"/>
          <w:b/>
          <w:lang w:eastAsia="en-US"/>
        </w:rPr>
        <w:t>да инвестират в учене през целия живот;</w:t>
      </w:r>
    </w:p>
    <w:p w:rsidR="00B31EC0" w:rsidRPr="00856424" w:rsidRDefault="00B31EC0" w:rsidP="00B334C5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- инвестициите в човешкия капитал чрез началното и средното образование са важна стъпка към </w:t>
      </w:r>
      <w:r w:rsidR="005F0CA7" w:rsidRPr="00856424">
        <w:rPr>
          <w:rFonts w:eastAsiaTheme="minorHAnsi"/>
          <w:lang w:eastAsia="en-US"/>
        </w:rPr>
        <w:t>дигитализацията</w:t>
      </w:r>
      <w:r w:rsidRPr="00856424">
        <w:rPr>
          <w:rFonts w:eastAsiaTheme="minorHAnsi"/>
          <w:lang w:eastAsia="en-US"/>
        </w:rPr>
        <w:t xml:space="preserve"> на икономиката. Необходимо е да се развият </w:t>
      </w:r>
      <w:r w:rsidR="005F0CA7" w:rsidRPr="00856424">
        <w:rPr>
          <w:rFonts w:eastAsiaTheme="minorHAnsi"/>
          <w:lang w:eastAsia="en-US"/>
        </w:rPr>
        <w:t>дигитални</w:t>
      </w:r>
      <w:r w:rsidRPr="00856424">
        <w:rPr>
          <w:rFonts w:eastAsiaTheme="minorHAnsi"/>
          <w:lang w:eastAsia="en-US"/>
        </w:rPr>
        <w:t xml:space="preserve"> и меки умения за населението като цяло. Усилията в областта на частното и публичното образование следва да бъдат координирани и да се </w:t>
      </w:r>
      <w:proofErr w:type="spellStart"/>
      <w:r w:rsidRPr="00856424">
        <w:rPr>
          <w:rFonts w:eastAsiaTheme="minorHAnsi"/>
          <w:lang w:eastAsia="en-US"/>
        </w:rPr>
        <w:t>надграждат</w:t>
      </w:r>
      <w:proofErr w:type="spellEnd"/>
      <w:r w:rsidRPr="00856424">
        <w:rPr>
          <w:rFonts w:eastAsiaTheme="minorHAnsi"/>
          <w:lang w:eastAsia="en-US"/>
        </w:rPr>
        <w:t xml:space="preserve"> взаимно. Освен това обучението следва да обхваща групи от населението, склонни към изключване (като жени, </w:t>
      </w:r>
      <w:r w:rsidRPr="00856424">
        <w:rPr>
          <w:rFonts w:eastAsiaTheme="minorHAnsi"/>
          <w:lang w:eastAsia="en-US"/>
        </w:rPr>
        <w:lastRenderedPageBreak/>
        <w:t>етнически малцинства и др.), и да гарантира разпространението на икономически ефективни технологични устройства;</w:t>
      </w:r>
    </w:p>
    <w:p w:rsidR="00B31EC0" w:rsidRPr="00856424" w:rsidRDefault="00B31EC0" w:rsidP="00B334C5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- </w:t>
      </w:r>
      <w:r w:rsidRPr="00856424">
        <w:rPr>
          <w:rFonts w:eastAsiaTheme="minorHAnsi"/>
          <w:b/>
          <w:lang w:eastAsia="en-US"/>
        </w:rPr>
        <w:t>внедряване на технологии в публичния сектор</w:t>
      </w:r>
      <w:r w:rsidRPr="00856424">
        <w:rPr>
          <w:rFonts w:eastAsiaTheme="minorHAnsi"/>
          <w:lang w:eastAsia="en-US"/>
        </w:rPr>
        <w:t xml:space="preserve"> (например ускоряване на разработването на онлайн обществени услуги и тяхното внедряване);</w:t>
      </w:r>
    </w:p>
    <w:p w:rsidR="00B31EC0" w:rsidRPr="00856424" w:rsidRDefault="00B31EC0" w:rsidP="00B334C5">
      <w:pPr>
        <w:spacing w:line="360" w:lineRule="auto"/>
        <w:contextualSpacing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- </w:t>
      </w:r>
      <w:r w:rsidR="005F0CA7" w:rsidRPr="00856424">
        <w:rPr>
          <w:rFonts w:eastAsiaTheme="minorHAnsi"/>
          <w:b/>
          <w:lang w:eastAsia="en-US"/>
        </w:rPr>
        <w:t>внедряване</w:t>
      </w:r>
      <w:r w:rsidRPr="00856424">
        <w:rPr>
          <w:rFonts w:eastAsiaTheme="minorHAnsi"/>
          <w:b/>
          <w:lang w:eastAsia="en-US"/>
        </w:rPr>
        <w:t xml:space="preserve"> на </w:t>
      </w:r>
      <w:r w:rsidR="00CF0000" w:rsidRPr="00856424">
        <w:rPr>
          <w:rFonts w:eastAsiaTheme="minorHAnsi"/>
          <w:b/>
          <w:lang w:eastAsia="en-US"/>
        </w:rPr>
        <w:t xml:space="preserve">нови </w:t>
      </w:r>
      <w:r w:rsidRPr="00856424">
        <w:rPr>
          <w:rFonts w:eastAsiaTheme="minorHAnsi"/>
          <w:b/>
          <w:lang w:eastAsia="en-US"/>
        </w:rPr>
        <w:t>тех</w:t>
      </w:r>
      <w:r w:rsidR="00CF0000" w:rsidRPr="00856424">
        <w:rPr>
          <w:rFonts w:eastAsiaTheme="minorHAnsi"/>
          <w:b/>
          <w:lang w:eastAsia="en-US"/>
        </w:rPr>
        <w:t>нологии</w:t>
      </w:r>
      <w:r w:rsidR="001F3F46">
        <w:rPr>
          <w:rFonts w:eastAsiaTheme="minorHAnsi"/>
          <w:b/>
          <w:lang w:eastAsia="en-US"/>
        </w:rPr>
        <w:t xml:space="preserve"> </w:t>
      </w:r>
      <w:r w:rsidR="005F0CA7" w:rsidRPr="00856424">
        <w:rPr>
          <w:rFonts w:eastAsiaTheme="minorHAnsi"/>
          <w:b/>
          <w:lang w:eastAsia="en-US"/>
        </w:rPr>
        <w:t>в</w:t>
      </w:r>
      <w:r w:rsidRPr="00856424">
        <w:rPr>
          <w:rFonts w:eastAsiaTheme="minorHAnsi"/>
          <w:b/>
          <w:lang w:eastAsia="en-US"/>
        </w:rPr>
        <w:t xml:space="preserve"> предприятията </w:t>
      </w:r>
      <w:r w:rsidRPr="00856424">
        <w:rPr>
          <w:rFonts w:eastAsiaTheme="minorHAnsi"/>
          <w:lang w:eastAsia="en-US"/>
        </w:rPr>
        <w:t xml:space="preserve">(например насърчаване на ползите от </w:t>
      </w:r>
      <w:r w:rsidR="005F0CA7" w:rsidRPr="00856424">
        <w:rPr>
          <w:rFonts w:eastAsiaTheme="minorHAnsi"/>
          <w:lang w:eastAsia="en-US"/>
        </w:rPr>
        <w:t>дигитализацията</w:t>
      </w:r>
      <w:r w:rsidRPr="00856424">
        <w:rPr>
          <w:rFonts w:eastAsiaTheme="minorHAnsi"/>
          <w:lang w:eastAsia="en-US"/>
        </w:rPr>
        <w:t xml:space="preserve"> и </w:t>
      </w:r>
      <w:r w:rsidR="005F0CA7" w:rsidRPr="00856424">
        <w:rPr>
          <w:rFonts w:eastAsiaTheme="minorHAnsi"/>
          <w:lang w:eastAsia="en-US"/>
        </w:rPr>
        <w:t xml:space="preserve">дигиталната </w:t>
      </w:r>
      <w:r w:rsidRPr="00856424">
        <w:rPr>
          <w:rFonts w:eastAsiaTheme="minorHAnsi"/>
          <w:lang w:eastAsia="en-US"/>
        </w:rPr>
        <w:t>трансформация).</w:t>
      </w:r>
    </w:p>
    <w:p w:rsidR="00B31EC0" w:rsidRPr="00856424" w:rsidRDefault="00B31EC0" w:rsidP="00B334C5">
      <w:pPr>
        <w:spacing w:line="360" w:lineRule="auto"/>
        <w:ind w:firstLine="72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Частният сектор трябва да възприеме </w:t>
      </w:r>
      <w:proofErr w:type="spellStart"/>
      <w:r w:rsidRPr="00856424">
        <w:rPr>
          <w:rFonts w:eastAsiaTheme="minorHAnsi"/>
          <w:lang w:eastAsia="en-US"/>
        </w:rPr>
        <w:t>продигитална</w:t>
      </w:r>
      <w:proofErr w:type="spellEnd"/>
      <w:r w:rsidRPr="00856424">
        <w:rPr>
          <w:rFonts w:eastAsiaTheme="minorHAnsi"/>
          <w:lang w:eastAsia="en-US"/>
        </w:rPr>
        <w:t xml:space="preserve"> организационна култура. МСП са изложени на висока конкуренция, но не разполагат с достатъчно човешки, финансов и технически капитал, за да поддържат и повишават конкурентоспособността си в контекста на </w:t>
      </w:r>
      <w:r w:rsidR="000B1258" w:rsidRPr="00856424">
        <w:rPr>
          <w:rFonts w:eastAsiaTheme="minorHAnsi"/>
          <w:lang w:eastAsia="en-US"/>
        </w:rPr>
        <w:t>дигиталната</w:t>
      </w:r>
      <w:r w:rsidRPr="00856424">
        <w:rPr>
          <w:rFonts w:eastAsiaTheme="minorHAnsi"/>
          <w:lang w:eastAsia="en-US"/>
        </w:rPr>
        <w:t xml:space="preserve"> трансформация. Тъй като МСП все още не разполагат с финансови ресурси, за да интегрират </w:t>
      </w:r>
      <w:r w:rsidR="001F3F46">
        <w:rPr>
          <w:rFonts w:eastAsiaTheme="minorHAnsi"/>
          <w:lang w:eastAsia="en-US"/>
        </w:rPr>
        <w:t>дигиталните</w:t>
      </w:r>
      <w:r w:rsidRPr="00856424">
        <w:rPr>
          <w:rFonts w:eastAsiaTheme="minorHAnsi"/>
          <w:lang w:eastAsia="en-US"/>
        </w:rPr>
        <w:t xml:space="preserve"> инструменти в своите бизнес процеси, подобряването на правната рамка за </w:t>
      </w:r>
      <w:r w:rsidR="000B1258" w:rsidRPr="00856424">
        <w:rPr>
          <w:rFonts w:eastAsiaTheme="minorHAnsi"/>
          <w:lang w:eastAsia="en-US"/>
        </w:rPr>
        <w:t>дигиталните и ориентирани</w:t>
      </w:r>
      <w:r w:rsidRPr="00856424">
        <w:rPr>
          <w:rFonts w:eastAsiaTheme="minorHAnsi"/>
          <w:lang w:eastAsia="en-US"/>
        </w:rPr>
        <w:t xml:space="preserve"> към </w:t>
      </w:r>
      <w:r w:rsidR="000B1258" w:rsidRPr="00856424">
        <w:rPr>
          <w:rFonts w:eastAsiaTheme="minorHAnsi"/>
          <w:lang w:eastAsia="en-US"/>
        </w:rPr>
        <w:t>дигитални</w:t>
      </w:r>
      <w:r w:rsidRPr="00856424">
        <w:rPr>
          <w:rFonts w:eastAsiaTheme="minorHAnsi"/>
          <w:lang w:eastAsia="en-US"/>
        </w:rPr>
        <w:t xml:space="preserve"> технологии МСП е задължително. Мерките могат да бъдат насочени към финансиране, предоставяне на опростени електронни услуги и по-ниско данъчно облагане.</w:t>
      </w:r>
    </w:p>
    <w:p w:rsidR="00B31EC0" w:rsidRPr="00856424" w:rsidRDefault="00B31EC0" w:rsidP="001F3F46">
      <w:pPr>
        <w:spacing w:line="360" w:lineRule="auto"/>
        <w:ind w:firstLine="720"/>
        <w:contextualSpacing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- Укрепване на </w:t>
      </w:r>
      <w:r w:rsidRPr="00856424">
        <w:rPr>
          <w:rFonts w:eastAsiaTheme="minorHAnsi"/>
          <w:b/>
          <w:lang w:eastAsia="en-US"/>
        </w:rPr>
        <w:t xml:space="preserve">регионалното трансгранично </w:t>
      </w:r>
      <w:r w:rsidR="005A7FA5" w:rsidRPr="00856424">
        <w:rPr>
          <w:rFonts w:eastAsiaTheme="minorHAnsi"/>
          <w:b/>
          <w:lang w:eastAsia="en-US"/>
        </w:rPr>
        <w:t>дигитално</w:t>
      </w:r>
      <w:r w:rsidRPr="00856424">
        <w:rPr>
          <w:rFonts w:eastAsiaTheme="minorHAnsi"/>
          <w:b/>
          <w:lang w:eastAsia="en-US"/>
        </w:rPr>
        <w:t xml:space="preserve"> сътрудничество</w:t>
      </w:r>
      <w:r w:rsidRPr="00856424">
        <w:rPr>
          <w:rFonts w:eastAsiaTheme="minorHAnsi"/>
          <w:lang w:eastAsia="en-US"/>
        </w:rPr>
        <w:t xml:space="preserve"> (напр. създаване на силен </w:t>
      </w:r>
      <w:r w:rsidR="005A7FA5" w:rsidRPr="00856424">
        <w:rPr>
          <w:rFonts w:eastAsiaTheme="minorHAnsi"/>
          <w:lang w:eastAsia="en-US"/>
        </w:rPr>
        <w:t>дигитален</w:t>
      </w:r>
      <w:r w:rsidRPr="00856424">
        <w:rPr>
          <w:rFonts w:eastAsiaTheme="minorHAnsi"/>
          <w:lang w:eastAsia="en-US"/>
        </w:rPr>
        <w:t xml:space="preserve"> стълб в рамките на регионалните платформи за сътрудничество)</w:t>
      </w:r>
    </w:p>
    <w:p w:rsidR="00320C48" w:rsidRPr="00856424" w:rsidRDefault="00B31EC0" w:rsidP="001F3F46">
      <w:pPr>
        <w:spacing w:line="360" w:lineRule="auto"/>
        <w:ind w:firstLine="720"/>
        <w:contextualSpacing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- </w:t>
      </w:r>
      <w:r w:rsidRPr="00856424">
        <w:rPr>
          <w:rFonts w:eastAsiaTheme="minorHAnsi"/>
          <w:b/>
          <w:lang w:eastAsia="en-US"/>
        </w:rPr>
        <w:t xml:space="preserve">стимулиране на </w:t>
      </w:r>
      <w:proofErr w:type="spellStart"/>
      <w:r w:rsidRPr="00856424">
        <w:rPr>
          <w:rFonts w:eastAsiaTheme="minorHAnsi"/>
          <w:b/>
          <w:lang w:eastAsia="en-US"/>
        </w:rPr>
        <w:t>стартъп</w:t>
      </w:r>
      <w:proofErr w:type="spellEnd"/>
      <w:r w:rsidRPr="00856424">
        <w:rPr>
          <w:rFonts w:eastAsiaTheme="minorHAnsi"/>
          <w:b/>
          <w:lang w:eastAsia="en-US"/>
        </w:rPr>
        <w:t xml:space="preserve"> екосистемата</w:t>
      </w:r>
      <w:r w:rsidR="001F3F46">
        <w:rPr>
          <w:rFonts w:eastAsiaTheme="minorHAnsi"/>
          <w:b/>
          <w:lang w:eastAsia="en-US"/>
        </w:rPr>
        <w:t xml:space="preserve"> </w:t>
      </w:r>
      <w:r w:rsidR="005A7FA5" w:rsidRPr="00856424">
        <w:rPr>
          <w:rFonts w:eastAsiaTheme="minorHAnsi"/>
          <w:lang w:eastAsia="en-US"/>
        </w:rPr>
        <w:t>(например</w:t>
      </w:r>
      <w:r w:rsidR="001F3F46">
        <w:rPr>
          <w:rFonts w:eastAsiaTheme="minorHAnsi"/>
          <w:lang w:eastAsia="en-US"/>
        </w:rPr>
        <w:t xml:space="preserve"> </w:t>
      </w:r>
      <w:r w:rsidR="005A7FA5" w:rsidRPr="00856424">
        <w:rPr>
          <w:rFonts w:eastAsiaTheme="minorHAnsi"/>
          <w:lang w:eastAsia="en-US"/>
        </w:rPr>
        <w:t>чрез</w:t>
      </w:r>
      <w:r w:rsidR="001F3F46">
        <w:rPr>
          <w:rFonts w:eastAsiaTheme="minorHAnsi"/>
          <w:lang w:eastAsia="en-US"/>
        </w:rPr>
        <w:t xml:space="preserve"> </w:t>
      </w:r>
      <w:r w:rsidRPr="00856424">
        <w:rPr>
          <w:rFonts w:eastAsiaTheme="minorHAnsi"/>
          <w:lang w:eastAsia="en-US"/>
        </w:rPr>
        <w:t>подобряване на набора от предприемачески таланти и увеличаване на достъпа до капитал).</w:t>
      </w:r>
    </w:p>
    <w:p w:rsidR="008961A9" w:rsidRPr="00856424" w:rsidRDefault="008961A9" w:rsidP="001F3F46">
      <w:pPr>
        <w:spacing w:line="360" w:lineRule="auto"/>
        <w:ind w:firstLine="720"/>
        <w:contextualSpacing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- </w:t>
      </w:r>
      <w:r w:rsidRPr="00856424">
        <w:rPr>
          <w:rFonts w:eastAsiaTheme="minorHAnsi"/>
          <w:b/>
          <w:lang w:eastAsia="en-US"/>
        </w:rPr>
        <w:t>Преодоляване на недостига на работна ръка на пазара на труда</w:t>
      </w:r>
      <w:r w:rsidRPr="00856424">
        <w:rPr>
          <w:rFonts w:eastAsiaTheme="minorHAnsi"/>
          <w:lang w:eastAsia="en-US"/>
        </w:rPr>
        <w:t>.</w:t>
      </w:r>
    </w:p>
    <w:p w:rsidR="00750816" w:rsidRDefault="008961A9" w:rsidP="00B334C5">
      <w:pPr>
        <w:spacing w:line="360" w:lineRule="auto"/>
        <w:ind w:firstLine="360"/>
        <w:contextualSpacing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Компаниите декларират, че </w:t>
      </w:r>
      <w:r w:rsidR="005A7FA5" w:rsidRPr="00856424">
        <w:rPr>
          <w:rFonts w:eastAsiaTheme="minorHAnsi"/>
          <w:lang w:eastAsia="en-US"/>
        </w:rPr>
        <w:t>най-трудно се намират софтуерни</w:t>
      </w:r>
      <w:r w:rsidRPr="00856424">
        <w:rPr>
          <w:rFonts w:eastAsiaTheme="minorHAnsi"/>
          <w:lang w:eastAsia="en-US"/>
        </w:rPr>
        <w:t xml:space="preserve"> инженери и разработчици; среща се недостиг на таланти. Укрепването на връзките между бизнеса и образованието може да допринесе за </w:t>
      </w:r>
      <w:r w:rsidR="005A7FA5" w:rsidRPr="00856424">
        <w:rPr>
          <w:rFonts w:eastAsiaTheme="minorHAnsi"/>
          <w:lang w:eastAsia="en-US"/>
        </w:rPr>
        <w:t>възбуждане</w:t>
      </w:r>
      <w:r w:rsidRPr="00856424">
        <w:rPr>
          <w:rFonts w:eastAsiaTheme="minorHAnsi"/>
          <w:lang w:eastAsia="en-US"/>
        </w:rPr>
        <w:t xml:space="preserve"> на интереса на учениците към ИКТ и STEM дисциплините</w:t>
      </w:r>
      <w:r w:rsidR="007E0405" w:rsidRPr="00856424">
        <w:rPr>
          <w:rFonts w:eastAsiaTheme="minorHAnsi"/>
          <w:lang w:eastAsia="en-US"/>
        </w:rPr>
        <w:t xml:space="preserve"> (</w:t>
      </w:r>
      <w:r w:rsidR="007E0405" w:rsidRPr="00E22ECC">
        <w:rPr>
          <w:rFonts w:eastAsiaTheme="minorHAnsi"/>
          <w:sz w:val="22"/>
          <w:szCs w:val="22"/>
          <w:lang w:eastAsia="en-US"/>
        </w:rPr>
        <w:t>обучение чрез методите на науката, технологиите, инженерството и математиката)</w:t>
      </w:r>
      <w:r w:rsidRPr="00E22ECC">
        <w:rPr>
          <w:rFonts w:eastAsiaTheme="minorHAnsi"/>
          <w:sz w:val="22"/>
          <w:szCs w:val="22"/>
          <w:lang w:eastAsia="en-US"/>
        </w:rPr>
        <w:t xml:space="preserve">. </w:t>
      </w:r>
      <w:r w:rsidR="005A7FA5" w:rsidRPr="00856424">
        <w:rPr>
          <w:rFonts w:eastAsiaTheme="minorHAnsi"/>
          <w:lang w:eastAsia="en-US"/>
        </w:rPr>
        <w:t>Едно цялостно</w:t>
      </w:r>
      <w:r w:rsidRPr="00856424">
        <w:rPr>
          <w:rFonts w:eastAsiaTheme="minorHAnsi"/>
          <w:lang w:eastAsia="en-US"/>
        </w:rPr>
        <w:t xml:space="preserve"> изследване на пречките пред приобщаването (предразсъдъци, липса на умения, непривлекателност и т.н.) може да подпомогне този процес.</w:t>
      </w:r>
    </w:p>
    <w:p w:rsidR="00E22ECC" w:rsidRPr="00856424" w:rsidRDefault="00E22ECC" w:rsidP="00B334C5">
      <w:pPr>
        <w:spacing w:line="360" w:lineRule="auto"/>
        <w:ind w:firstLine="360"/>
        <w:contextualSpacing/>
        <w:jc w:val="both"/>
        <w:rPr>
          <w:rFonts w:eastAsiaTheme="minorHAnsi"/>
          <w:lang w:eastAsia="en-US"/>
        </w:rPr>
      </w:pPr>
    </w:p>
    <w:p w:rsidR="00485634" w:rsidRPr="008B1ED4" w:rsidRDefault="008961A9" w:rsidP="008B1ED4">
      <w:pPr>
        <w:pStyle w:val="ListParagraph"/>
        <w:numPr>
          <w:ilvl w:val="0"/>
          <w:numId w:val="11"/>
        </w:numPr>
        <w:spacing w:line="360" w:lineRule="auto"/>
        <w:jc w:val="both"/>
        <w:rPr>
          <w:rFonts w:eastAsiaTheme="minorHAnsi"/>
          <w:b/>
          <w:lang w:eastAsia="en-US"/>
        </w:rPr>
      </w:pPr>
      <w:r w:rsidRPr="00856424">
        <w:rPr>
          <w:rFonts w:eastAsiaTheme="minorHAnsi"/>
          <w:b/>
          <w:lang w:eastAsia="en-US"/>
        </w:rPr>
        <w:t xml:space="preserve">Национална рамка за </w:t>
      </w:r>
      <w:r w:rsidR="0040155D" w:rsidRPr="00856424">
        <w:rPr>
          <w:rFonts w:eastAsiaTheme="minorHAnsi"/>
          <w:b/>
          <w:lang w:eastAsia="en-US"/>
        </w:rPr>
        <w:t>дигитализация</w:t>
      </w:r>
      <w:r w:rsidRPr="00856424">
        <w:rPr>
          <w:rFonts w:eastAsiaTheme="minorHAnsi"/>
          <w:b/>
          <w:lang w:eastAsia="en-US"/>
        </w:rPr>
        <w:t xml:space="preserve"> и колективно договаряне</w:t>
      </w:r>
    </w:p>
    <w:p w:rsidR="0087024E" w:rsidRPr="00856424" w:rsidRDefault="00043630" w:rsidP="00B334C5">
      <w:pPr>
        <w:pStyle w:val="ListParagraph"/>
        <w:spacing w:line="360" w:lineRule="auto"/>
        <w:jc w:val="both"/>
        <w:rPr>
          <w:rFonts w:eastAsiaTheme="minorHAnsi"/>
          <w:b/>
          <w:lang w:eastAsia="en-US"/>
        </w:rPr>
      </w:pPr>
      <w:r w:rsidRPr="00856424">
        <w:rPr>
          <w:rFonts w:eastAsiaTheme="minorHAnsi"/>
          <w:b/>
          <w:lang w:eastAsia="en-US"/>
        </w:rPr>
        <w:t xml:space="preserve">2.1. </w:t>
      </w:r>
      <w:r w:rsidR="008961A9" w:rsidRPr="00856424">
        <w:rPr>
          <w:rFonts w:eastAsiaTheme="minorHAnsi"/>
          <w:b/>
          <w:lang w:eastAsia="en-US"/>
        </w:rPr>
        <w:t xml:space="preserve">Стратегическа рамка </w:t>
      </w:r>
    </w:p>
    <w:p w:rsidR="00CE71BF" w:rsidRPr="00B942C3" w:rsidRDefault="008961A9" w:rsidP="00B942C3">
      <w:pPr>
        <w:pStyle w:val="ListParagraph"/>
        <w:spacing w:line="360" w:lineRule="auto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856424">
        <w:rPr>
          <w:rFonts w:eastAsiaTheme="minorHAnsi"/>
          <w:color w:val="000000" w:themeColor="text1"/>
          <w:lang w:eastAsia="en-US"/>
        </w:rPr>
        <w:t xml:space="preserve">България е приела различни стратегии, свързани с </w:t>
      </w:r>
      <w:r w:rsidR="0040155D" w:rsidRPr="00856424">
        <w:rPr>
          <w:rFonts w:eastAsiaTheme="minorHAnsi"/>
          <w:color w:val="000000" w:themeColor="text1"/>
          <w:lang w:eastAsia="en-US"/>
        </w:rPr>
        <w:t>дигиталната</w:t>
      </w:r>
      <w:r w:rsidRPr="00856424">
        <w:rPr>
          <w:rFonts w:eastAsiaTheme="minorHAnsi"/>
          <w:color w:val="000000" w:themeColor="text1"/>
          <w:lang w:eastAsia="en-US"/>
        </w:rPr>
        <w:t xml:space="preserve"> трансформация. Първата национална програма "ЦИФРОВА БЪЛГАРИЯ 2015" беше одобрена през 2012 г. </w:t>
      </w:r>
      <w:r w:rsidRPr="00856424">
        <w:rPr>
          <w:rFonts w:eastAsiaTheme="minorHAnsi"/>
          <w:color w:val="000000" w:themeColor="text1"/>
          <w:lang w:eastAsia="en-US"/>
        </w:rPr>
        <w:lastRenderedPageBreak/>
        <w:t xml:space="preserve">В нея са определени седем взаимосвързани приоритетни области: 1. Активен цифров единен пазар; 2. Оперативна съвместимост и стандарти; 3. Доверие и сигурност; 4. Бърз и </w:t>
      </w:r>
      <w:proofErr w:type="spellStart"/>
      <w:r w:rsidRPr="00856424">
        <w:rPr>
          <w:rFonts w:eastAsiaTheme="minorHAnsi"/>
          <w:color w:val="000000" w:themeColor="text1"/>
          <w:lang w:eastAsia="en-US"/>
        </w:rPr>
        <w:t>свръхбърз</w:t>
      </w:r>
      <w:proofErr w:type="spellEnd"/>
      <w:r w:rsidRPr="00856424">
        <w:rPr>
          <w:rFonts w:eastAsiaTheme="minorHAnsi"/>
          <w:color w:val="000000" w:themeColor="text1"/>
          <w:lang w:eastAsia="en-US"/>
        </w:rPr>
        <w:t xml:space="preserve"> достъп до интернет; 5. Научни изследвания и иновации; 6. Повишаване на цифровата грамотност, умения и приобщаване; 7. Ползи от ИКТ за обществото в ЕС</w:t>
      </w:r>
    </w:p>
    <w:p w:rsidR="008961A9" w:rsidRPr="00856424" w:rsidRDefault="008961A9" w:rsidP="00B334C5">
      <w:pPr>
        <w:pStyle w:val="ListParagraph"/>
        <w:spacing w:line="360" w:lineRule="auto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856424">
        <w:rPr>
          <w:rFonts w:eastAsiaTheme="minorHAnsi"/>
          <w:color w:val="000000" w:themeColor="text1"/>
          <w:lang w:eastAsia="en-US"/>
        </w:rPr>
        <w:t xml:space="preserve">Преди това бяха разработени редица стратегически и програмни документи, които частично обхващат темата за </w:t>
      </w:r>
      <w:r w:rsidR="00CE71BF" w:rsidRPr="00856424">
        <w:rPr>
          <w:rFonts w:eastAsiaTheme="minorHAnsi"/>
          <w:color w:val="000000" w:themeColor="text1"/>
          <w:lang w:eastAsia="en-US"/>
        </w:rPr>
        <w:t>дигитализацията</w:t>
      </w:r>
      <w:r w:rsidRPr="00856424">
        <w:rPr>
          <w:rFonts w:eastAsiaTheme="minorHAnsi"/>
          <w:color w:val="000000" w:themeColor="text1"/>
          <w:lang w:eastAsia="en-US"/>
        </w:rPr>
        <w:t xml:space="preserve">: Национална програма за реформи 2012-2020 г. </w:t>
      </w:r>
      <w:r w:rsidR="00CE71BF" w:rsidRPr="00856424">
        <w:rPr>
          <w:rFonts w:eastAsiaTheme="minorHAnsi"/>
          <w:i/>
          <w:color w:val="000000" w:themeColor="text1"/>
          <w:lang w:eastAsia="en-US"/>
        </w:rPr>
        <w:t>(Развитие на електронно</w:t>
      </w:r>
      <w:r w:rsidRPr="00856424">
        <w:rPr>
          <w:rFonts w:eastAsiaTheme="minorHAnsi"/>
          <w:i/>
          <w:color w:val="000000" w:themeColor="text1"/>
          <w:lang w:eastAsia="en-US"/>
        </w:rPr>
        <w:t xml:space="preserve"> здравеоп</w:t>
      </w:r>
      <w:r w:rsidR="00CE71BF" w:rsidRPr="00856424">
        <w:rPr>
          <w:rFonts w:eastAsiaTheme="minorHAnsi"/>
          <w:i/>
          <w:color w:val="000000" w:themeColor="text1"/>
          <w:lang w:eastAsia="en-US"/>
        </w:rPr>
        <w:t>азване; Развитие на електронно</w:t>
      </w:r>
      <w:r w:rsidRPr="00856424">
        <w:rPr>
          <w:rFonts w:eastAsiaTheme="minorHAnsi"/>
          <w:i/>
          <w:color w:val="000000" w:themeColor="text1"/>
          <w:lang w:eastAsia="en-US"/>
        </w:rPr>
        <w:t xml:space="preserve"> правителство; Развитие на шир</w:t>
      </w:r>
      <w:r w:rsidR="00CE71BF" w:rsidRPr="00856424">
        <w:rPr>
          <w:rFonts w:eastAsiaTheme="minorHAnsi"/>
          <w:i/>
          <w:color w:val="000000" w:themeColor="text1"/>
          <w:lang w:eastAsia="en-US"/>
        </w:rPr>
        <w:t>околентов</w:t>
      </w:r>
      <w:r w:rsidRPr="00856424">
        <w:rPr>
          <w:rFonts w:eastAsiaTheme="minorHAnsi"/>
          <w:i/>
          <w:color w:val="000000" w:themeColor="text1"/>
          <w:lang w:eastAsia="en-US"/>
        </w:rPr>
        <w:t xml:space="preserve"> достъп; Насърчаване на инвестициите, насочени към създаване на нови работни места във висок</w:t>
      </w:r>
      <w:r w:rsidR="00CE71BF" w:rsidRPr="00856424">
        <w:rPr>
          <w:rFonts w:eastAsiaTheme="minorHAnsi"/>
          <w:i/>
          <w:color w:val="000000" w:themeColor="text1"/>
          <w:lang w:eastAsia="en-US"/>
        </w:rPr>
        <w:t xml:space="preserve">отехнологични отрасли и услуги </w:t>
      </w:r>
      <w:r w:rsidRPr="00856424">
        <w:rPr>
          <w:rFonts w:eastAsiaTheme="minorHAnsi"/>
          <w:i/>
          <w:color w:val="000000" w:themeColor="text1"/>
          <w:lang w:eastAsia="en-US"/>
        </w:rPr>
        <w:t xml:space="preserve">основани на знанието (образование, научноизследователска и развойна дейност, ИКТ </w:t>
      </w:r>
      <w:r w:rsidR="00CE71BF" w:rsidRPr="00856424">
        <w:rPr>
          <w:rFonts w:eastAsiaTheme="minorHAnsi"/>
          <w:i/>
          <w:color w:val="000000" w:themeColor="text1"/>
          <w:lang w:eastAsia="en-US"/>
        </w:rPr>
        <w:t>и др.)</w:t>
      </w:r>
      <w:r w:rsidRPr="00856424">
        <w:rPr>
          <w:rFonts w:eastAsiaTheme="minorHAnsi"/>
          <w:i/>
          <w:color w:val="000000" w:themeColor="text1"/>
          <w:lang w:eastAsia="en-US"/>
        </w:rPr>
        <w:t>; ИКТ за енергийна ефективност; ИКТ за подобряване на образователната система</w:t>
      </w:r>
      <w:r w:rsidRPr="00856424">
        <w:rPr>
          <w:rFonts w:eastAsiaTheme="minorHAnsi"/>
          <w:color w:val="000000" w:themeColor="text1"/>
          <w:lang w:eastAsia="en-US"/>
        </w:rPr>
        <w:t>), Национална стратегия за научни изследвания 2020 (</w:t>
      </w:r>
      <w:r w:rsidRPr="00856424">
        <w:rPr>
          <w:rFonts w:eastAsiaTheme="minorHAnsi"/>
          <w:i/>
          <w:color w:val="000000" w:themeColor="text1"/>
          <w:lang w:eastAsia="en-US"/>
        </w:rPr>
        <w:t xml:space="preserve">основният акцент е поставен върху подкрепата на научните изследвания и технологичното развитие в областта на научните изследвания, ИКТ инфраструктурата, електронното правителство, онлайн здравеопазването, интелигентния дом, цифровите умения, сигурността в </w:t>
      </w:r>
      <w:proofErr w:type="spellStart"/>
      <w:r w:rsidRPr="00856424">
        <w:rPr>
          <w:rFonts w:eastAsiaTheme="minorHAnsi"/>
          <w:i/>
          <w:color w:val="000000" w:themeColor="text1"/>
          <w:lang w:eastAsia="en-US"/>
        </w:rPr>
        <w:t>киберпространството</w:t>
      </w:r>
      <w:proofErr w:type="spellEnd"/>
      <w:r w:rsidRPr="00856424">
        <w:rPr>
          <w:rFonts w:eastAsiaTheme="minorHAnsi"/>
          <w:color w:val="000000" w:themeColor="text1"/>
          <w:lang w:eastAsia="en-US"/>
        </w:rPr>
        <w:t>), Иновационна стратегия на България, Национална стратегия за развитие на широколентовия достъп, Обща стратегия за развитие на електронното управление 2011-2015 г. През декември 2019 г. Министерският съвет прие актуализирана Национална програма "Цифрова България 2025".</w:t>
      </w:r>
    </w:p>
    <w:p w:rsidR="005E16F8" w:rsidRDefault="008961A9" w:rsidP="00485634">
      <w:pPr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856424">
        <w:rPr>
          <w:rFonts w:eastAsiaTheme="minorHAnsi"/>
          <w:color w:val="000000" w:themeColor="text1"/>
          <w:lang w:eastAsia="en-US"/>
        </w:rPr>
        <w:t xml:space="preserve">Анализът на ситуацията, представен в Националната програма "Цифрова България 2025", дава представа за някои основни области, свързани с обхвата на проекта </w:t>
      </w:r>
      <w:proofErr w:type="spellStart"/>
      <w:r w:rsidRPr="00856424">
        <w:rPr>
          <w:rFonts w:eastAsiaTheme="minorHAnsi"/>
          <w:color w:val="000000" w:themeColor="text1"/>
          <w:lang w:eastAsia="en-US"/>
        </w:rPr>
        <w:t>TransFormWork</w:t>
      </w:r>
      <w:proofErr w:type="spellEnd"/>
      <w:r w:rsidRPr="00856424">
        <w:rPr>
          <w:rFonts w:eastAsiaTheme="minorHAnsi"/>
          <w:color w:val="000000" w:themeColor="text1"/>
          <w:lang w:eastAsia="en-US"/>
        </w:rPr>
        <w:t>:</w:t>
      </w:r>
    </w:p>
    <w:p w:rsidR="00485634" w:rsidRPr="00485634" w:rsidRDefault="00485634" w:rsidP="00485634">
      <w:pPr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:rsidR="008961A9" w:rsidRPr="00856424" w:rsidRDefault="008961A9" w:rsidP="00B334C5">
      <w:pPr>
        <w:spacing w:line="360" w:lineRule="auto"/>
        <w:ind w:firstLine="709"/>
        <w:jc w:val="both"/>
        <w:rPr>
          <w:rFonts w:eastAsiaTheme="minorHAnsi"/>
          <w:i/>
          <w:color w:val="000000" w:themeColor="text1"/>
          <w:lang w:eastAsia="en-US"/>
        </w:rPr>
      </w:pPr>
      <w:r w:rsidRPr="00856424">
        <w:rPr>
          <w:rFonts w:eastAsiaTheme="minorHAnsi"/>
          <w:i/>
          <w:color w:val="000000" w:themeColor="text1"/>
          <w:lang w:eastAsia="en-US"/>
        </w:rPr>
        <w:t>Човешки ресурси:</w:t>
      </w:r>
    </w:p>
    <w:p w:rsidR="008961A9" w:rsidRPr="00856424" w:rsidRDefault="008961A9" w:rsidP="00B942C3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Общото ниво на </w:t>
      </w:r>
      <w:r w:rsidR="002565CB" w:rsidRPr="00856424">
        <w:rPr>
          <w:rFonts w:eastAsiaTheme="minorHAnsi"/>
          <w:lang w:eastAsia="en-US"/>
        </w:rPr>
        <w:t>дигиталните</w:t>
      </w:r>
      <w:r w:rsidRPr="00856424">
        <w:rPr>
          <w:rFonts w:eastAsiaTheme="minorHAnsi"/>
          <w:lang w:eastAsia="en-US"/>
        </w:rPr>
        <w:t xml:space="preserve"> умения в България е сред най-ниските в ЕС: делът на хората с поне основни умения в областта на </w:t>
      </w:r>
      <w:r w:rsidR="002565CB" w:rsidRPr="00856424">
        <w:rPr>
          <w:rFonts w:eastAsiaTheme="minorHAnsi"/>
          <w:lang w:eastAsia="en-US"/>
        </w:rPr>
        <w:t>дигиталните</w:t>
      </w:r>
      <w:r w:rsidRPr="00856424">
        <w:rPr>
          <w:rFonts w:eastAsiaTheme="minorHAnsi"/>
          <w:lang w:eastAsia="en-US"/>
        </w:rPr>
        <w:t xml:space="preserve"> технологии възлиза на около 29 %, докато средно за ЕС този дял е 57%. Тази тенденция се потвърждава и сред младите хора: 54 % от младежите на възраст между 16 и 24 години имат поне основни </w:t>
      </w:r>
      <w:r w:rsidR="002565CB" w:rsidRPr="00856424">
        <w:rPr>
          <w:rFonts w:eastAsiaTheme="minorHAnsi"/>
          <w:lang w:eastAsia="en-US"/>
        </w:rPr>
        <w:t>дигитални</w:t>
      </w:r>
      <w:r w:rsidR="00B942C3">
        <w:rPr>
          <w:rFonts w:eastAsiaTheme="minorHAnsi"/>
          <w:lang w:eastAsia="en-US"/>
        </w:rPr>
        <w:t xml:space="preserve"> умения (спрямо 81</w:t>
      </w:r>
      <w:r w:rsidRPr="00856424">
        <w:rPr>
          <w:rFonts w:eastAsiaTheme="minorHAnsi"/>
          <w:lang w:eastAsia="en-US"/>
        </w:rPr>
        <w:t xml:space="preserve">% средно за ЕС). Хората с по-напреднали потребителски умения (над основните </w:t>
      </w:r>
      <w:r w:rsidR="002565CB" w:rsidRPr="00856424">
        <w:rPr>
          <w:rFonts w:eastAsiaTheme="minorHAnsi"/>
          <w:lang w:eastAsia="en-US"/>
        </w:rPr>
        <w:t xml:space="preserve">дигитални </w:t>
      </w:r>
      <w:r w:rsidR="00B942C3">
        <w:rPr>
          <w:rFonts w:eastAsiaTheme="minorHAnsi"/>
          <w:lang w:eastAsia="en-US"/>
        </w:rPr>
        <w:t>умения) са 11</w:t>
      </w:r>
      <w:r w:rsidRPr="00856424">
        <w:rPr>
          <w:rFonts w:eastAsiaTheme="minorHAnsi"/>
          <w:lang w:eastAsia="en-US"/>
        </w:rPr>
        <w:t xml:space="preserve">% от общия брой, което е по-малко от една трета от средното за ЕС. Налице са и промени в политиката - образователната система е в процес на </w:t>
      </w:r>
      <w:r w:rsidRPr="00856424">
        <w:rPr>
          <w:rFonts w:eastAsiaTheme="minorHAnsi"/>
          <w:lang w:eastAsia="en-US"/>
        </w:rPr>
        <w:lastRenderedPageBreak/>
        <w:t>реформи на всички нива и въпреки че меркит</w:t>
      </w:r>
      <w:r w:rsidR="002565CB" w:rsidRPr="00856424">
        <w:rPr>
          <w:rFonts w:eastAsiaTheme="minorHAnsi"/>
          <w:lang w:eastAsia="en-US"/>
        </w:rPr>
        <w:t>е не са напълно съобразени с</w:t>
      </w:r>
      <w:r w:rsidRPr="00856424">
        <w:rPr>
          <w:rFonts w:eastAsiaTheme="minorHAnsi"/>
          <w:lang w:eastAsia="en-US"/>
        </w:rPr>
        <w:t xml:space="preserve"> мащаба на </w:t>
      </w:r>
      <w:r w:rsidR="002565CB" w:rsidRPr="00856424">
        <w:rPr>
          <w:rFonts w:eastAsiaTheme="minorHAnsi"/>
          <w:lang w:eastAsia="en-US"/>
        </w:rPr>
        <w:t>дигиталната</w:t>
      </w:r>
      <w:r w:rsidRPr="00856424">
        <w:rPr>
          <w:rFonts w:eastAsiaTheme="minorHAnsi"/>
          <w:lang w:eastAsia="en-US"/>
        </w:rPr>
        <w:t xml:space="preserve"> трансформация, все пак фокусът </w:t>
      </w:r>
      <w:r w:rsidR="002565CB" w:rsidRPr="00856424">
        <w:rPr>
          <w:rFonts w:eastAsiaTheme="minorHAnsi"/>
          <w:lang w:eastAsia="en-US"/>
        </w:rPr>
        <w:t xml:space="preserve">е </w:t>
      </w:r>
      <w:r w:rsidRPr="00856424">
        <w:rPr>
          <w:rFonts w:eastAsiaTheme="minorHAnsi"/>
          <w:lang w:eastAsia="en-US"/>
        </w:rPr>
        <w:t xml:space="preserve">върху подобряването на </w:t>
      </w:r>
      <w:r w:rsidR="002565CB" w:rsidRPr="00856424">
        <w:rPr>
          <w:rFonts w:eastAsiaTheme="minorHAnsi"/>
          <w:lang w:eastAsia="en-US"/>
        </w:rPr>
        <w:t>дигиталните</w:t>
      </w:r>
      <w:r w:rsidRPr="00856424">
        <w:rPr>
          <w:rFonts w:eastAsiaTheme="minorHAnsi"/>
          <w:lang w:eastAsia="en-US"/>
        </w:rPr>
        <w:t xml:space="preserve"> умения. В контекста на реформата на висшето образование бяха предприети мерки за засилване на сътрудничеството между образователните институции и бизнеса.</w:t>
      </w:r>
    </w:p>
    <w:p w:rsidR="005E16F8" w:rsidRDefault="005E16F8" w:rsidP="00B334C5">
      <w:pPr>
        <w:spacing w:line="360" w:lineRule="auto"/>
        <w:ind w:firstLine="709"/>
        <w:jc w:val="both"/>
        <w:rPr>
          <w:rFonts w:eastAsiaTheme="minorHAnsi"/>
          <w:i/>
          <w:lang w:eastAsia="en-US"/>
        </w:rPr>
      </w:pPr>
    </w:p>
    <w:p w:rsidR="008961A9" w:rsidRPr="00856424" w:rsidRDefault="008961A9" w:rsidP="00B334C5">
      <w:pPr>
        <w:spacing w:line="360" w:lineRule="auto"/>
        <w:ind w:firstLine="709"/>
        <w:jc w:val="both"/>
        <w:rPr>
          <w:rFonts w:eastAsiaTheme="minorHAnsi"/>
          <w:i/>
          <w:lang w:eastAsia="en-US"/>
        </w:rPr>
      </w:pPr>
      <w:r w:rsidRPr="00856424">
        <w:rPr>
          <w:rFonts w:eastAsiaTheme="minorHAnsi"/>
          <w:i/>
          <w:lang w:eastAsia="en-US"/>
        </w:rPr>
        <w:t>Използване на интернет услуги:</w:t>
      </w:r>
    </w:p>
    <w:p w:rsidR="008961A9" w:rsidRPr="00856424" w:rsidRDefault="008961A9" w:rsidP="00B334C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Въпреки че е подобрила резултатите си, България е под средното ниво в областта на интернет услугите: 64% от гражданите използват интернет (средно за ЕС 83%), а 27% никога не са го използвали - това е най-високата стойност в ЕС. Сред потребителите на интернет в ЕС българите провеждат най-много </w:t>
      </w:r>
      <w:proofErr w:type="spellStart"/>
      <w:r w:rsidRPr="00856424">
        <w:rPr>
          <w:rFonts w:eastAsiaTheme="minorHAnsi"/>
          <w:lang w:eastAsia="en-US"/>
        </w:rPr>
        <w:t>видеоразговори</w:t>
      </w:r>
      <w:proofErr w:type="spellEnd"/>
      <w:r w:rsidRPr="00856424">
        <w:rPr>
          <w:rFonts w:eastAsiaTheme="minorHAnsi"/>
          <w:lang w:eastAsia="en-US"/>
        </w:rPr>
        <w:t>; те са доста над средното ниво и по отношение на активността в социалните мрежи (79% от общия брой спрямо 65%). При редовните потребители на интернет в зависимост от образованиет</w:t>
      </w:r>
      <w:r w:rsidR="00B942C3">
        <w:rPr>
          <w:rFonts w:eastAsiaTheme="minorHAnsi"/>
          <w:lang w:eastAsia="en-US"/>
        </w:rPr>
        <w:t>о има значителни разлики - 89,6</w:t>
      </w:r>
      <w:r w:rsidRPr="00856424">
        <w:rPr>
          <w:rFonts w:eastAsiaTheme="minorHAnsi"/>
          <w:lang w:eastAsia="en-US"/>
        </w:rPr>
        <w:t>% от ли</w:t>
      </w:r>
      <w:r w:rsidR="00B942C3">
        <w:rPr>
          <w:rFonts w:eastAsiaTheme="minorHAnsi"/>
          <w:lang w:eastAsia="en-US"/>
        </w:rPr>
        <w:t>цата с висше образование и 37,7</w:t>
      </w:r>
      <w:r w:rsidRPr="00856424">
        <w:rPr>
          <w:rFonts w:eastAsiaTheme="minorHAnsi"/>
          <w:lang w:eastAsia="en-US"/>
        </w:rPr>
        <w:t xml:space="preserve">% от лицата с основно или по-ниско образование използват редовно глобалната мрежа. Трудовият статус също оказва влияние върху активността на населението в глобалната мрежа. Най-често я използват </w:t>
      </w:r>
      <w:r w:rsidR="004E3140" w:rsidRPr="00856424">
        <w:rPr>
          <w:rFonts w:eastAsiaTheme="minorHAnsi"/>
          <w:lang w:eastAsia="en-US"/>
        </w:rPr>
        <w:t xml:space="preserve">учащи </w:t>
      </w:r>
      <w:r w:rsidRPr="00856424">
        <w:rPr>
          <w:rFonts w:eastAsiaTheme="minorHAnsi"/>
          <w:lang w:eastAsia="en-US"/>
        </w:rPr>
        <w:t xml:space="preserve">(безработни), 98,6% от които сърфират редовно, а при работещите (наети и </w:t>
      </w:r>
      <w:proofErr w:type="spellStart"/>
      <w:r w:rsidRPr="00856424">
        <w:rPr>
          <w:rFonts w:eastAsiaTheme="minorHAnsi"/>
          <w:lang w:eastAsia="en-US"/>
        </w:rPr>
        <w:t>самонаети</w:t>
      </w:r>
      <w:proofErr w:type="spellEnd"/>
      <w:r w:rsidRPr="00856424">
        <w:rPr>
          <w:rFonts w:eastAsiaTheme="minorHAnsi"/>
          <w:lang w:eastAsia="en-US"/>
        </w:rPr>
        <w:t>) относителният дял е 80,8%.  Почти половината от безработните (45,1%) също използват редовно интернет.</w:t>
      </w:r>
    </w:p>
    <w:p w:rsidR="005E16F8" w:rsidRDefault="005E16F8" w:rsidP="00B334C5">
      <w:pPr>
        <w:spacing w:line="360" w:lineRule="auto"/>
        <w:ind w:firstLine="709"/>
        <w:jc w:val="both"/>
        <w:rPr>
          <w:rFonts w:eastAsiaTheme="minorHAnsi"/>
          <w:i/>
          <w:lang w:eastAsia="en-US"/>
        </w:rPr>
      </w:pPr>
    </w:p>
    <w:p w:rsidR="008961A9" w:rsidRPr="00856424" w:rsidRDefault="008961A9" w:rsidP="00B334C5">
      <w:pPr>
        <w:spacing w:line="360" w:lineRule="auto"/>
        <w:ind w:firstLine="709"/>
        <w:jc w:val="both"/>
        <w:rPr>
          <w:rFonts w:eastAsiaTheme="minorHAnsi"/>
          <w:i/>
          <w:lang w:eastAsia="en-US"/>
        </w:rPr>
      </w:pPr>
      <w:r w:rsidRPr="00856424">
        <w:rPr>
          <w:rFonts w:eastAsiaTheme="minorHAnsi"/>
          <w:i/>
          <w:lang w:eastAsia="en-US"/>
        </w:rPr>
        <w:t>Внедряване на цифрови технологии</w:t>
      </w:r>
    </w:p>
    <w:p w:rsidR="008961A9" w:rsidRPr="00856424" w:rsidRDefault="008961A9" w:rsidP="00B334C5">
      <w:pPr>
        <w:tabs>
          <w:tab w:val="left" w:pos="9356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В</w:t>
      </w:r>
      <w:r w:rsidR="007471D8" w:rsidRPr="00856424">
        <w:rPr>
          <w:rFonts w:eastAsiaTheme="minorHAnsi"/>
          <w:lang w:eastAsia="en-US"/>
        </w:rPr>
        <w:t>недряването</w:t>
      </w:r>
      <w:r w:rsidRPr="00856424">
        <w:rPr>
          <w:rFonts w:eastAsiaTheme="minorHAnsi"/>
          <w:lang w:eastAsia="en-US"/>
        </w:rPr>
        <w:t xml:space="preserve"> на цифровите технологии от предприятията в България върви бавно.  През последните години постепенно се развива екосистема от </w:t>
      </w:r>
      <w:r w:rsidR="007471D8" w:rsidRPr="00856424">
        <w:rPr>
          <w:rFonts w:eastAsiaTheme="minorHAnsi"/>
          <w:lang w:eastAsia="en-US"/>
        </w:rPr>
        <w:t xml:space="preserve">дигитални и технологични </w:t>
      </w:r>
      <w:r w:rsidRPr="00856424">
        <w:rPr>
          <w:rFonts w:eastAsiaTheme="minorHAnsi"/>
          <w:lang w:eastAsia="en-US"/>
        </w:rPr>
        <w:t xml:space="preserve">предприемачи, но инвестициите в </w:t>
      </w:r>
      <w:proofErr w:type="spellStart"/>
      <w:r w:rsidR="007471D8" w:rsidRPr="00856424">
        <w:rPr>
          <w:rFonts w:eastAsiaTheme="minorHAnsi"/>
          <w:lang w:eastAsia="en-US"/>
        </w:rPr>
        <w:t>цифровизация</w:t>
      </w:r>
      <w:proofErr w:type="spellEnd"/>
      <w:r w:rsidRPr="00856424">
        <w:rPr>
          <w:rFonts w:eastAsiaTheme="minorHAnsi"/>
          <w:lang w:eastAsia="en-US"/>
        </w:rPr>
        <w:t xml:space="preserve"> на икономиката все още са ограничени. Тези недостатъчни инвестиции, както и недостигът н</w:t>
      </w:r>
      <w:r w:rsidR="005E16F8">
        <w:rPr>
          <w:rFonts w:eastAsiaTheme="minorHAnsi"/>
          <w:lang w:eastAsia="en-US"/>
        </w:rPr>
        <w:t>а специалисти в областта на ИКТ</w:t>
      </w:r>
      <w:r w:rsidRPr="00856424">
        <w:rPr>
          <w:rFonts w:eastAsiaTheme="minorHAnsi"/>
          <w:lang w:eastAsia="en-US"/>
        </w:rPr>
        <w:t xml:space="preserve"> се определят като възможни причини за по-бавната </w:t>
      </w:r>
      <w:proofErr w:type="spellStart"/>
      <w:r w:rsidRPr="00856424">
        <w:rPr>
          <w:rFonts w:eastAsiaTheme="minorHAnsi"/>
          <w:lang w:eastAsia="en-US"/>
        </w:rPr>
        <w:t>цифровизация</w:t>
      </w:r>
      <w:proofErr w:type="spellEnd"/>
      <w:r w:rsidRPr="00856424">
        <w:rPr>
          <w:rFonts w:eastAsiaTheme="minorHAnsi"/>
          <w:lang w:eastAsia="en-US"/>
        </w:rPr>
        <w:t xml:space="preserve"> в България в сравнение с други държави членки.  </w:t>
      </w:r>
    </w:p>
    <w:p w:rsidR="008961A9" w:rsidRPr="00856424" w:rsidRDefault="008961A9" w:rsidP="00B334C5">
      <w:pPr>
        <w:tabs>
          <w:tab w:val="left" w:pos="9356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Българските предприятия срещат трудности да използват възможностите, които </w:t>
      </w:r>
      <w:r w:rsidR="005E16F8">
        <w:rPr>
          <w:rFonts w:eastAsiaTheme="minorHAnsi"/>
          <w:lang w:eastAsia="en-US"/>
        </w:rPr>
        <w:t>предоставя онлайн търговията: 6</w:t>
      </w:r>
      <w:r w:rsidRPr="00856424">
        <w:rPr>
          <w:rFonts w:eastAsiaTheme="minorHAnsi"/>
          <w:lang w:eastAsia="en-US"/>
        </w:rPr>
        <w:t>% от общия брой МСП прод</w:t>
      </w:r>
      <w:r w:rsidR="005E16F8">
        <w:rPr>
          <w:rFonts w:eastAsiaTheme="minorHAnsi"/>
          <w:lang w:eastAsia="en-US"/>
        </w:rPr>
        <w:t>ават онлайн (в сравнение със 17% средно за ЕС), 3</w:t>
      </w:r>
      <w:r w:rsidRPr="00856424">
        <w:rPr>
          <w:rFonts w:eastAsiaTheme="minorHAnsi"/>
          <w:lang w:eastAsia="en-US"/>
        </w:rPr>
        <w:t>% от всички МСП извършват трансгранични продажби и само 2% от оборота им е от онлайн търговия.</w:t>
      </w:r>
    </w:p>
    <w:p w:rsidR="00633D19" w:rsidRPr="00856424" w:rsidRDefault="008961A9" w:rsidP="00B334C5">
      <w:pPr>
        <w:tabs>
          <w:tab w:val="left" w:pos="9356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lastRenderedPageBreak/>
        <w:t>Въпреки че българите използват интензивно социалните медии за лична употреба, само 9% от предприятията ги използват за лична употреба в сравнение със средно 21% в ЕС. И накрая, броят на предприятията с висок индекс на интензивност представлява само 7,81 % от всички предприятия. Положителен е фактът, че 23% от предприятията споделят информаци</w:t>
      </w:r>
      <w:r w:rsidR="005E16F8">
        <w:rPr>
          <w:rFonts w:eastAsiaTheme="minorHAnsi"/>
          <w:lang w:eastAsia="en-US"/>
        </w:rPr>
        <w:t>я онлайн, при средно 34</w:t>
      </w:r>
      <w:r w:rsidR="00633D19" w:rsidRPr="00856424">
        <w:rPr>
          <w:rFonts w:eastAsiaTheme="minorHAnsi"/>
          <w:lang w:eastAsia="en-US"/>
        </w:rPr>
        <w:t>% за ЕС.</w:t>
      </w:r>
    </w:p>
    <w:p w:rsidR="008961A9" w:rsidRDefault="008961A9" w:rsidP="00B334C5">
      <w:pPr>
        <w:tabs>
          <w:tab w:val="left" w:pos="9356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Пречки пред развитието на цифровата икономика са недостатъчните </w:t>
      </w:r>
      <w:r w:rsidR="00633D19" w:rsidRPr="00856424">
        <w:rPr>
          <w:rFonts w:eastAsiaTheme="minorHAnsi"/>
          <w:lang w:eastAsia="en-US"/>
        </w:rPr>
        <w:t>дигитални</w:t>
      </w:r>
      <w:r w:rsidRPr="00856424">
        <w:rPr>
          <w:rFonts w:eastAsiaTheme="minorHAnsi"/>
          <w:lang w:eastAsia="en-US"/>
        </w:rPr>
        <w:t xml:space="preserve">, комуникационни и предприемачески умения на гражданите и задълбочаването на проблема с недостига на висококвалифицирана работна ръка във високотехнологичните дейности. Според правителството е необходим стратегически координиран подход с участието на всички заинтересовани страни, за да се осигури актуализиране на програмите за </w:t>
      </w:r>
      <w:r w:rsidR="00633D19" w:rsidRPr="00856424">
        <w:rPr>
          <w:rFonts w:eastAsiaTheme="minorHAnsi"/>
          <w:lang w:eastAsia="en-US"/>
        </w:rPr>
        <w:t>дигитални</w:t>
      </w:r>
      <w:r w:rsidRPr="00856424">
        <w:rPr>
          <w:rFonts w:eastAsiaTheme="minorHAnsi"/>
          <w:lang w:eastAsia="en-US"/>
        </w:rPr>
        <w:t xml:space="preserve"> умения на всички нива и части на образователната система, допълнителна квалификация и преквалификация на заети и безработни, увеличаване на броя на завършилите в областта на точните науки, технологиит</w:t>
      </w:r>
      <w:r w:rsidR="00633D19" w:rsidRPr="00856424">
        <w:rPr>
          <w:rFonts w:eastAsiaTheme="minorHAnsi"/>
          <w:lang w:eastAsia="en-US"/>
        </w:rPr>
        <w:t xml:space="preserve">е, инженерството и математиката, </w:t>
      </w:r>
      <w:r w:rsidRPr="00856424">
        <w:rPr>
          <w:rFonts w:eastAsiaTheme="minorHAnsi"/>
          <w:lang w:eastAsia="en-US"/>
        </w:rPr>
        <w:t xml:space="preserve">включване на работодателите в професионалното обучение, намаляване на цифровата икономика и намаляване на разделението с акцент върху социалните групи в неравностойно положение. Използването на ИКТ в промишлеността и услугите включва внедряване на ИКТ приложения за оптимизиране на управлението, производството и процесите, електронна търговия и електронен бизнес, предоставяне на интерактивни онлайн услуги, увеличаване на възможностите за гъвкава, адаптивна и дистанционна работа и работа на непълно работно време и др.  Ниското равнище на инвестиции на предприятията в ИКТ ограничава възможностите на България да се възползва от предимствата на </w:t>
      </w:r>
      <w:r w:rsidRPr="005E16F8">
        <w:rPr>
          <w:rFonts w:eastAsiaTheme="minorHAnsi"/>
          <w:lang w:eastAsia="en-US"/>
        </w:rPr>
        <w:t>цифровата</w:t>
      </w:r>
      <w:r w:rsidRPr="00856424">
        <w:rPr>
          <w:rFonts w:eastAsiaTheme="minorHAnsi"/>
          <w:lang w:eastAsia="en-US"/>
        </w:rPr>
        <w:t xml:space="preserve"> икономика.</w:t>
      </w:r>
    </w:p>
    <w:p w:rsidR="005E16F8" w:rsidRPr="00856424" w:rsidRDefault="005E16F8" w:rsidP="00B334C5">
      <w:pPr>
        <w:tabs>
          <w:tab w:val="left" w:pos="9356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5E0FB4" w:rsidRPr="00856424" w:rsidRDefault="005E0FB4" w:rsidP="00B334C5">
      <w:pPr>
        <w:pStyle w:val="ListParagraph"/>
        <w:spacing w:line="360" w:lineRule="auto"/>
        <w:ind w:left="0" w:firstLine="709"/>
        <w:jc w:val="both"/>
        <w:rPr>
          <w:rFonts w:eastAsiaTheme="minorHAnsi"/>
          <w:b/>
          <w:lang w:eastAsia="en-US"/>
        </w:rPr>
      </w:pPr>
      <w:r w:rsidRPr="00856424">
        <w:rPr>
          <w:rFonts w:eastAsiaTheme="minorHAnsi"/>
          <w:b/>
          <w:lang w:eastAsia="en-US"/>
        </w:rPr>
        <w:t>2.</w:t>
      </w:r>
      <w:proofErr w:type="spellStart"/>
      <w:r w:rsidRPr="00856424">
        <w:rPr>
          <w:rFonts w:eastAsiaTheme="minorHAnsi"/>
          <w:b/>
          <w:lang w:eastAsia="en-US"/>
        </w:rPr>
        <w:t>2</w:t>
      </w:r>
      <w:proofErr w:type="spellEnd"/>
      <w:r w:rsidRPr="00856424">
        <w:rPr>
          <w:rFonts w:eastAsiaTheme="minorHAnsi"/>
          <w:b/>
          <w:lang w:eastAsia="en-US"/>
        </w:rPr>
        <w:t xml:space="preserve">. </w:t>
      </w:r>
      <w:r w:rsidR="00136640" w:rsidRPr="00856424">
        <w:rPr>
          <w:rFonts w:eastAsiaTheme="minorHAnsi"/>
          <w:b/>
          <w:lang w:eastAsia="en-US"/>
        </w:rPr>
        <w:t>Социален диалог и колективно договаряне</w:t>
      </w:r>
    </w:p>
    <w:p w:rsidR="001B7C19" w:rsidRPr="00856424" w:rsidRDefault="00136640" w:rsidP="00B334C5">
      <w:pPr>
        <w:pStyle w:val="ListParagraph"/>
        <w:spacing w:line="360" w:lineRule="auto"/>
        <w:ind w:left="0" w:firstLine="709"/>
        <w:jc w:val="both"/>
        <w:rPr>
          <w:rFonts w:eastAsiaTheme="minorHAnsi"/>
          <w:i/>
          <w:lang w:eastAsia="en-US"/>
        </w:rPr>
      </w:pPr>
      <w:r w:rsidRPr="00856424">
        <w:rPr>
          <w:rFonts w:eastAsiaTheme="minorHAnsi"/>
          <w:i/>
          <w:lang w:eastAsia="en-US"/>
        </w:rPr>
        <w:t>Социален диалог</w:t>
      </w:r>
    </w:p>
    <w:p w:rsidR="00702A6C" w:rsidRPr="00856424" w:rsidRDefault="00702A6C" w:rsidP="00B334C5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През последните години </w:t>
      </w:r>
      <w:r w:rsidR="00C65455" w:rsidRPr="00B13CDE">
        <w:rPr>
          <w:rFonts w:eastAsiaTheme="minorHAnsi"/>
          <w:lang w:eastAsia="en-US"/>
        </w:rPr>
        <w:t>дигитализацията</w:t>
      </w:r>
      <w:r w:rsidRPr="00856424">
        <w:rPr>
          <w:rFonts w:eastAsiaTheme="minorHAnsi"/>
          <w:lang w:eastAsia="en-US"/>
        </w:rPr>
        <w:t xml:space="preserve"> е в центъра на вниманието на социалните партньори. През 2010 г. всички национално представителни организации на работодателите и работниците сключиха национално споразумение, уреждащо работата от разстояние. Това споразумение се </w:t>
      </w:r>
      <w:r w:rsidR="00C65455" w:rsidRPr="00856424">
        <w:rPr>
          <w:rFonts w:eastAsiaTheme="minorHAnsi"/>
          <w:lang w:eastAsia="en-US"/>
        </w:rPr>
        <w:t>основаваше на А</w:t>
      </w:r>
      <w:r w:rsidRPr="00856424">
        <w:rPr>
          <w:rFonts w:eastAsiaTheme="minorHAnsi"/>
          <w:lang w:eastAsia="en-US"/>
        </w:rPr>
        <w:t xml:space="preserve">втономното споразумение на социалните партньори </w:t>
      </w:r>
      <w:r w:rsidR="00C65455" w:rsidRPr="00856424">
        <w:rPr>
          <w:rFonts w:eastAsiaTheme="minorHAnsi"/>
          <w:lang w:eastAsia="en-US"/>
        </w:rPr>
        <w:t>в</w:t>
      </w:r>
      <w:r w:rsidRPr="00856424">
        <w:rPr>
          <w:rFonts w:eastAsiaTheme="minorHAnsi"/>
          <w:lang w:eastAsia="en-US"/>
        </w:rPr>
        <w:t xml:space="preserve"> ЕС от 2002 г. относно работата от разстояние</w:t>
      </w:r>
      <w:r w:rsidR="00C65455" w:rsidRPr="00856424">
        <w:rPr>
          <w:rFonts w:eastAsiaTheme="minorHAnsi"/>
          <w:lang w:eastAsia="en-US"/>
        </w:rPr>
        <w:t>.</w:t>
      </w:r>
      <w:r w:rsidR="008A324F" w:rsidRPr="00856424">
        <w:rPr>
          <w:rStyle w:val="FootnoteReference"/>
          <w:rFonts w:eastAsiaTheme="minorHAnsi"/>
          <w:lang w:eastAsia="en-US"/>
        </w:rPr>
        <w:footnoteReference w:id="4"/>
      </w:r>
      <w:r w:rsidRPr="00856424">
        <w:rPr>
          <w:rFonts w:eastAsiaTheme="minorHAnsi"/>
          <w:lang w:eastAsia="en-US"/>
        </w:rPr>
        <w:t xml:space="preserve"> Въз основа на </w:t>
      </w:r>
      <w:r w:rsidRPr="00856424">
        <w:rPr>
          <w:rFonts w:eastAsiaTheme="minorHAnsi"/>
          <w:lang w:eastAsia="en-US"/>
        </w:rPr>
        <w:lastRenderedPageBreak/>
        <w:t>споразумението и по съвместно искане на социалните</w:t>
      </w:r>
      <w:r w:rsidR="00B13CDE">
        <w:rPr>
          <w:rFonts w:eastAsiaTheme="minorHAnsi"/>
          <w:lang w:eastAsia="en-US"/>
        </w:rPr>
        <w:t xml:space="preserve"> партньори беше изменен Кодекса</w:t>
      </w:r>
      <w:r w:rsidRPr="00856424">
        <w:rPr>
          <w:rFonts w:eastAsiaTheme="minorHAnsi"/>
          <w:lang w:eastAsia="en-US"/>
        </w:rPr>
        <w:t xml:space="preserve"> на труда. С тези изменения беше въведен нов раздел за организиране на работата от разстояние. Въпреки това</w:t>
      </w:r>
      <w:r w:rsidR="00C65455" w:rsidRPr="00856424">
        <w:rPr>
          <w:rFonts w:eastAsiaTheme="minorHAnsi"/>
          <w:lang w:eastAsia="en-US"/>
        </w:rPr>
        <w:t>,</w:t>
      </w:r>
      <w:r w:rsidRPr="00856424">
        <w:rPr>
          <w:rFonts w:eastAsiaTheme="minorHAnsi"/>
          <w:lang w:eastAsia="en-US"/>
        </w:rPr>
        <w:t xml:space="preserve"> според </w:t>
      </w:r>
      <w:proofErr w:type="spellStart"/>
      <w:r w:rsidRPr="00856424">
        <w:rPr>
          <w:rFonts w:eastAsiaTheme="minorHAnsi"/>
          <w:lang w:eastAsia="en-US"/>
        </w:rPr>
        <w:t>Евростат</w:t>
      </w:r>
      <w:proofErr w:type="spellEnd"/>
      <w:r w:rsidRPr="00856424">
        <w:rPr>
          <w:rFonts w:eastAsiaTheme="minorHAnsi"/>
          <w:lang w:eastAsia="en-US"/>
        </w:rPr>
        <w:t xml:space="preserve"> за периода 2011-2019 г. процентът на заетите лица, които редовно работят от дома си, варира от 0,2 до 0,6.</w:t>
      </w:r>
      <w:r w:rsidR="008A324F" w:rsidRPr="00856424">
        <w:rPr>
          <w:rStyle w:val="FootnoteReference"/>
          <w:rFonts w:eastAsiaTheme="minorHAnsi"/>
          <w:lang w:eastAsia="en-US"/>
        </w:rPr>
        <w:footnoteReference w:id="5"/>
      </w:r>
      <w:r w:rsidRPr="00856424">
        <w:rPr>
          <w:rFonts w:eastAsiaTheme="minorHAnsi"/>
          <w:lang w:eastAsia="en-US"/>
        </w:rPr>
        <w:t xml:space="preserve">  Процентът, отчетен </w:t>
      </w:r>
      <w:r w:rsidR="00C65455" w:rsidRPr="00856424">
        <w:rPr>
          <w:rFonts w:eastAsiaTheme="minorHAnsi"/>
          <w:lang w:eastAsia="en-US"/>
        </w:rPr>
        <w:t>по време на</w:t>
      </w:r>
      <w:r w:rsidRPr="00856424">
        <w:rPr>
          <w:rFonts w:eastAsiaTheme="minorHAnsi"/>
          <w:lang w:eastAsia="en-US"/>
        </w:rPr>
        <w:t xml:space="preserve"> пандемията през 2020 г., е 1,2 - отново най-ниският процент за 2020 г., в сравнение с ЕС 27 - 12 %.</w:t>
      </w:r>
    </w:p>
    <w:p w:rsidR="005E0FB4" w:rsidRPr="00856424" w:rsidRDefault="00702A6C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През 2019 г. и 2020 г. Икономическият и социален съвет</w:t>
      </w:r>
      <w:r w:rsidR="005214E7" w:rsidRPr="00856424">
        <w:rPr>
          <w:rFonts w:eastAsiaTheme="minorHAnsi"/>
          <w:lang w:eastAsia="en-US"/>
        </w:rPr>
        <w:t xml:space="preserve"> (ИСС)</w:t>
      </w:r>
      <w:r w:rsidR="00293395" w:rsidRPr="00856424">
        <w:rPr>
          <w:rStyle w:val="FootnoteReference"/>
          <w:rFonts w:eastAsiaTheme="minorHAnsi"/>
          <w:lang w:eastAsia="en-US"/>
        </w:rPr>
        <w:footnoteReference w:id="6"/>
      </w:r>
      <w:r w:rsidRPr="00856424">
        <w:rPr>
          <w:rFonts w:eastAsiaTheme="minorHAnsi"/>
          <w:lang w:eastAsia="en-US"/>
        </w:rPr>
        <w:t xml:space="preserve"> прие три становища, свързани с </w:t>
      </w:r>
      <w:r w:rsidR="00C65455" w:rsidRPr="00856424">
        <w:rPr>
          <w:rFonts w:eastAsiaTheme="minorHAnsi"/>
          <w:lang w:eastAsia="en-US"/>
        </w:rPr>
        <w:t xml:space="preserve">дигиталната </w:t>
      </w:r>
      <w:r w:rsidRPr="00856424">
        <w:rPr>
          <w:rFonts w:eastAsiaTheme="minorHAnsi"/>
          <w:lang w:eastAsia="en-US"/>
        </w:rPr>
        <w:t xml:space="preserve">трансформация - предизвикателствата, пред които са изправени работниците и предприятията по отношение на </w:t>
      </w:r>
      <w:r w:rsidR="00C65455" w:rsidRPr="00B13CDE">
        <w:rPr>
          <w:rFonts w:eastAsiaTheme="minorHAnsi"/>
          <w:lang w:eastAsia="en-US"/>
        </w:rPr>
        <w:t>дигитализац</w:t>
      </w:r>
      <w:r w:rsidR="00B13CDE" w:rsidRPr="00B13CDE">
        <w:rPr>
          <w:rFonts w:eastAsiaTheme="minorHAnsi"/>
          <w:lang w:eastAsia="en-US"/>
        </w:rPr>
        <w:t>ията</w:t>
      </w:r>
      <w:r w:rsidRPr="00B13CDE">
        <w:rPr>
          <w:rFonts w:eastAsiaTheme="minorHAnsi"/>
          <w:lang w:eastAsia="en-US"/>
        </w:rPr>
        <w:t>,</w:t>
      </w:r>
      <w:r w:rsidRPr="00856424">
        <w:rPr>
          <w:rFonts w:eastAsiaTheme="minorHAnsi"/>
          <w:lang w:eastAsia="en-US"/>
        </w:rPr>
        <w:t xml:space="preserve"> както и предизвикателствата и възможностите за </w:t>
      </w:r>
      <w:r w:rsidR="00C65455" w:rsidRPr="00856424">
        <w:rPr>
          <w:rFonts w:eastAsiaTheme="minorHAnsi"/>
          <w:lang w:eastAsia="en-US"/>
        </w:rPr>
        <w:t>дигитална</w:t>
      </w:r>
      <w:r w:rsidRPr="00856424">
        <w:rPr>
          <w:rFonts w:eastAsiaTheme="minorHAnsi"/>
          <w:lang w:eastAsia="en-US"/>
        </w:rPr>
        <w:t xml:space="preserve"> трансформация в България. И трите становища бяха разработени от двама </w:t>
      </w:r>
      <w:proofErr w:type="spellStart"/>
      <w:r w:rsidRPr="00856424">
        <w:rPr>
          <w:rFonts w:eastAsiaTheme="minorHAnsi"/>
          <w:lang w:eastAsia="en-US"/>
        </w:rPr>
        <w:t>съдокладчици</w:t>
      </w:r>
      <w:proofErr w:type="spellEnd"/>
      <w:r w:rsidRPr="00856424">
        <w:rPr>
          <w:rFonts w:eastAsiaTheme="minorHAnsi"/>
          <w:lang w:eastAsia="en-US"/>
        </w:rPr>
        <w:t xml:space="preserve"> - от страна на работодателите и от страна на работниците. Сред основните заключения можем да изтъкнем следното:  </w:t>
      </w:r>
    </w:p>
    <w:p w:rsidR="00702A6C" w:rsidRPr="00856424" w:rsidRDefault="005214E7" w:rsidP="00B334C5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дигиталната</w:t>
      </w:r>
      <w:r w:rsidR="00702A6C" w:rsidRPr="00856424">
        <w:rPr>
          <w:rFonts w:eastAsiaTheme="minorHAnsi"/>
          <w:lang w:eastAsia="en-US"/>
        </w:rPr>
        <w:t xml:space="preserve"> трансформация и нейното въздействие върху всички социални процеси е въпрос от стратегическо значение за развитието на икономическия потенциал, подобряването на условията на труд и качеството на живот, особено в контекста на застаряващото население, но в същото време изправя обществото пред непознати досега рискове;</w:t>
      </w:r>
    </w:p>
    <w:p w:rsidR="00702A6C" w:rsidRPr="00856424" w:rsidRDefault="00702A6C" w:rsidP="00B334C5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при наличието на подходящи политики възможностите за технологично развитие могат да бъдат използвани по подходящ начин, като по този начин рисковете се сведат до минимум;</w:t>
      </w:r>
    </w:p>
    <w:p w:rsidR="00702A6C" w:rsidRPr="00856424" w:rsidRDefault="005214E7" w:rsidP="00B334C5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дигиталната</w:t>
      </w:r>
      <w:r w:rsidR="00702A6C" w:rsidRPr="00856424">
        <w:rPr>
          <w:rFonts w:eastAsiaTheme="minorHAnsi"/>
          <w:lang w:eastAsia="en-US"/>
        </w:rPr>
        <w:t xml:space="preserve"> трансформация, изразяваща се във въвеждането и използването на съвременни цифрови технологии в областта на материалното и нематериалното производство с цел повишаване на общата </w:t>
      </w:r>
      <w:proofErr w:type="spellStart"/>
      <w:r w:rsidR="00702A6C" w:rsidRPr="00856424">
        <w:rPr>
          <w:rFonts w:eastAsiaTheme="minorHAnsi"/>
          <w:lang w:eastAsia="en-US"/>
        </w:rPr>
        <w:t>факторна</w:t>
      </w:r>
      <w:proofErr w:type="spellEnd"/>
      <w:r w:rsidR="00702A6C" w:rsidRPr="00856424">
        <w:rPr>
          <w:rFonts w:eastAsiaTheme="minorHAnsi"/>
          <w:lang w:eastAsia="en-US"/>
        </w:rPr>
        <w:t xml:space="preserve"> производителност и конкурентоспособността на предприятията, води до професионална трансформация;</w:t>
      </w:r>
    </w:p>
    <w:p w:rsidR="00702A6C" w:rsidRPr="00856424" w:rsidRDefault="005214E7" w:rsidP="00B334C5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дигиталната</w:t>
      </w:r>
      <w:r w:rsidR="00702A6C" w:rsidRPr="00856424">
        <w:rPr>
          <w:rFonts w:eastAsiaTheme="minorHAnsi"/>
          <w:lang w:eastAsia="en-US"/>
        </w:rPr>
        <w:t xml:space="preserve"> трансформация ще изисква значителни инвестиции от страна на частния и публичния сектор. Колкото повече се забавят тези инвестиции с течение на времето, колкото по-труден е достъпът до финансиране, толкова повече </w:t>
      </w:r>
      <w:r w:rsidRPr="00856424">
        <w:rPr>
          <w:rFonts w:eastAsiaTheme="minorHAnsi"/>
          <w:lang w:eastAsia="en-US"/>
        </w:rPr>
        <w:t>средства</w:t>
      </w:r>
      <w:r w:rsidR="00702A6C" w:rsidRPr="00856424">
        <w:rPr>
          <w:rFonts w:eastAsiaTheme="minorHAnsi"/>
          <w:lang w:eastAsia="en-US"/>
        </w:rPr>
        <w:t xml:space="preserve"> </w:t>
      </w:r>
      <w:r w:rsidR="00702A6C" w:rsidRPr="00856424">
        <w:rPr>
          <w:rFonts w:eastAsiaTheme="minorHAnsi"/>
          <w:lang w:eastAsia="en-US"/>
        </w:rPr>
        <w:lastRenderedPageBreak/>
        <w:t>ще са необходими в бъдеще на всеки работник, за да увеличи производителността си, и на всеки предприемач, за да повиши конкурентоспособността си;</w:t>
      </w:r>
    </w:p>
    <w:p w:rsidR="00702A6C" w:rsidRPr="00856424" w:rsidRDefault="00702A6C" w:rsidP="00B334C5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степента на технологичния напредък предопределя производителността на работниците;</w:t>
      </w:r>
    </w:p>
    <w:p w:rsidR="00702A6C" w:rsidRPr="00856424" w:rsidRDefault="00702A6C" w:rsidP="00B334C5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необходими са съществени промени в правилата, за да се установят прозрачни и демократични правила за взаимодействие между хората и </w:t>
      </w:r>
      <w:r w:rsidRPr="0050200A">
        <w:rPr>
          <w:rFonts w:eastAsiaTheme="minorHAnsi"/>
          <w:lang w:eastAsia="en-US"/>
        </w:rPr>
        <w:t>цифровите</w:t>
      </w:r>
      <w:r w:rsidRPr="00856424">
        <w:rPr>
          <w:rFonts w:eastAsiaTheme="minorHAnsi"/>
          <w:lang w:eastAsia="en-US"/>
        </w:rPr>
        <w:t xml:space="preserve"> технологии;</w:t>
      </w:r>
    </w:p>
    <w:p w:rsidR="00702A6C" w:rsidRPr="00856424" w:rsidRDefault="00702A6C" w:rsidP="00B334C5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подчертава значението на </w:t>
      </w:r>
      <w:r w:rsidR="005214E7" w:rsidRPr="00856424">
        <w:rPr>
          <w:rFonts w:eastAsiaTheme="minorHAnsi"/>
          <w:lang w:eastAsia="en-US"/>
        </w:rPr>
        <w:t>дигиталните</w:t>
      </w:r>
      <w:r w:rsidRPr="00856424">
        <w:rPr>
          <w:rFonts w:eastAsiaTheme="minorHAnsi"/>
          <w:lang w:eastAsia="en-US"/>
        </w:rPr>
        <w:t xml:space="preserve"> умения и компетентности за повишаване на способността за адаптиране на човешкия капитал към променящите се изисквания на работното място и пазара на труда. Решаваща роля ще играе образователната инфраструктура, която трябва да осигури условия и възможности за тяхното придобиване. Българското правителство трябва да насочи повече усилия към мерки за стимулиране на </w:t>
      </w:r>
      <w:r w:rsidR="0050200A">
        <w:rPr>
          <w:rFonts w:eastAsiaTheme="minorHAnsi"/>
          <w:lang w:eastAsia="en-US"/>
        </w:rPr>
        <w:t>дигиталните</w:t>
      </w:r>
      <w:r w:rsidRPr="00856424">
        <w:rPr>
          <w:rFonts w:eastAsiaTheme="minorHAnsi"/>
          <w:lang w:eastAsia="en-US"/>
        </w:rPr>
        <w:t xml:space="preserve"> компетентности и </w:t>
      </w:r>
      <w:r w:rsidR="0050200A">
        <w:rPr>
          <w:rFonts w:eastAsiaTheme="minorHAnsi"/>
          <w:lang w:eastAsia="en-US"/>
        </w:rPr>
        <w:t>дигиталната</w:t>
      </w:r>
      <w:r w:rsidRPr="00856424">
        <w:rPr>
          <w:rFonts w:eastAsiaTheme="minorHAnsi"/>
          <w:lang w:eastAsia="en-US"/>
        </w:rPr>
        <w:t xml:space="preserve"> култура от ранна детска възраст през целия трудов живот;</w:t>
      </w:r>
    </w:p>
    <w:p w:rsidR="00485634" w:rsidRDefault="005214E7" w:rsidP="00485634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развитие на процеса</w:t>
      </w:r>
      <w:r w:rsidR="00702A6C" w:rsidRPr="00856424">
        <w:rPr>
          <w:rFonts w:eastAsiaTheme="minorHAnsi"/>
          <w:lang w:eastAsia="en-US"/>
        </w:rPr>
        <w:t xml:space="preserve"> "учене през целия живот" (УЦЖ) именно поради бързото развитие на технологиите и необходимостта от непрекъснато преквалифициране на работната сила. Важно е тази политика да бъде насочена към пилотно създаване на секторни квалификационни фондове, в които социалните партньори имат ключова роля. Според </w:t>
      </w:r>
      <w:r w:rsidRPr="00856424">
        <w:rPr>
          <w:rFonts w:eastAsiaTheme="minorHAnsi"/>
          <w:lang w:eastAsia="en-US"/>
        </w:rPr>
        <w:t>ИСС</w:t>
      </w:r>
      <w:r w:rsidR="00702A6C" w:rsidRPr="00856424">
        <w:rPr>
          <w:rFonts w:eastAsiaTheme="minorHAnsi"/>
          <w:lang w:eastAsia="en-US"/>
        </w:rPr>
        <w:t xml:space="preserve"> държавата и социалните партньори трябва да предлагат и развиват алтернативни форми на обучение (цифрови платформи, мобилни приложения, онлайн курсове и др.).</w:t>
      </w:r>
      <w:r w:rsidR="00485634" w:rsidRPr="00485634">
        <w:rPr>
          <w:rFonts w:eastAsiaTheme="minorHAnsi"/>
          <w:lang w:eastAsia="en-US"/>
        </w:rPr>
        <w:tab/>
      </w:r>
    </w:p>
    <w:p w:rsidR="005E0FB4" w:rsidRPr="00485634" w:rsidRDefault="00702A6C" w:rsidP="00485634">
      <w:pPr>
        <w:pStyle w:val="ListParagraph"/>
        <w:spacing w:line="360" w:lineRule="auto"/>
        <w:jc w:val="both"/>
        <w:rPr>
          <w:rFonts w:eastAsiaTheme="minorHAnsi"/>
          <w:lang w:eastAsia="en-US"/>
        </w:rPr>
      </w:pPr>
      <w:r w:rsidRPr="00485634">
        <w:rPr>
          <w:rFonts w:eastAsiaTheme="minorHAnsi"/>
          <w:i/>
          <w:lang w:eastAsia="en-US"/>
        </w:rPr>
        <w:t>Колективно договаряне</w:t>
      </w:r>
    </w:p>
    <w:p w:rsidR="00151C37" w:rsidRPr="00160C13" w:rsidRDefault="00E14297" w:rsidP="00B334C5">
      <w:pPr>
        <w:tabs>
          <w:tab w:val="left" w:pos="9356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Когато става въпрос за колективно договаряне,</w:t>
      </w:r>
      <w:r w:rsidR="001478E6">
        <w:rPr>
          <w:rFonts w:eastAsiaTheme="minorHAnsi"/>
          <w:lang w:eastAsia="en-US"/>
        </w:rPr>
        <w:t xml:space="preserve"> </w:t>
      </w:r>
      <w:r w:rsidRPr="00856424">
        <w:rPr>
          <w:rFonts w:eastAsiaTheme="minorHAnsi"/>
          <w:lang w:eastAsia="en-US"/>
        </w:rPr>
        <w:t>д</w:t>
      </w:r>
      <w:r w:rsidR="00151C37" w:rsidRPr="00856424">
        <w:rPr>
          <w:rFonts w:eastAsiaTheme="minorHAnsi"/>
          <w:lang w:eastAsia="en-US"/>
        </w:rPr>
        <w:t xml:space="preserve">истанционната работа и </w:t>
      </w:r>
      <w:r w:rsidRPr="00856424">
        <w:rPr>
          <w:rFonts w:eastAsiaTheme="minorHAnsi"/>
          <w:lang w:eastAsia="en-US"/>
        </w:rPr>
        <w:t>дигитализацията</w:t>
      </w:r>
      <w:r w:rsidR="00151C37" w:rsidRPr="00856424">
        <w:rPr>
          <w:rFonts w:eastAsiaTheme="minorHAnsi"/>
          <w:lang w:eastAsia="en-US"/>
        </w:rPr>
        <w:t xml:space="preserve"> са нова тема за обсъждане от</w:t>
      </w:r>
      <w:r w:rsidRPr="00856424">
        <w:rPr>
          <w:rFonts w:eastAsiaTheme="minorHAnsi"/>
          <w:lang w:eastAsia="en-US"/>
        </w:rPr>
        <w:t xml:space="preserve"> страна на социалните партньори</w:t>
      </w:r>
      <w:r w:rsidR="00151C37" w:rsidRPr="00856424">
        <w:rPr>
          <w:rFonts w:eastAsiaTheme="minorHAnsi"/>
          <w:lang w:eastAsia="en-US"/>
        </w:rPr>
        <w:t xml:space="preserve">. Едва през 2020 г. колективният трудов договор в образованието беше изменен, за да отрази новите реалности, породени от </w:t>
      </w:r>
      <w:r w:rsidR="003A476C" w:rsidRPr="00856424">
        <w:rPr>
          <w:rFonts w:eastAsiaTheme="minorHAnsi"/>
          <w:lang w:eastAsia="en-US"/>
        </w:rPr>
        <w:t>Ковид</w:t>
      </w:r>
      <w:r w:rsidR="00151C37" w:rsidRPr="00856424">
        <w:rPr>
          <w:rFonts w:eastAsiaTheme="minorHAnsi"/>
          <w:lang w:eastAsia="en-US"/>
        </w:rPr>
        <w:t>-19 и необходимостта от преминаване към задължителна дистанционна работа. Тук трябва да подчертаем, че какт</w:t>
      </w:r>
      <w:r w:rsidR="001478E6">
        <w:rPr>
          <w:rFonts w:eastAsiaTheme="minorHAnsi"/>
          <w:lang w:eastAsia="en-US"/>
        </w:rPr>
        <w:t>о беше описано по-горе, Кодекса</w:t>
      </w:r>
      <w:r w:rsidR="00151C37" w:rsidRPr="00856424">
        <w:rPr>
          <w:rFonts w:eastAsiaTheme="minorHAnsi"/>
          <w:lang w:eastAsia="en-US"/>
        </w:rPr>
        <w:t xml:space="preserve"> на труда беше изменен въз основа на споразумението на социалните партньори, като се предвижда широко регулиране на работата от разстояние. Поради тази причина клаузите в секторните колективни трудови договори обхващат основно въпроси, свързани със заплащането и цифровите инструменти, които са на разположение за работа от разстояние. Според данните, предоставени от Националния институт за помирение </w:t>
      </w:r>
      <w:r w:rsidRPr="00856424">
        <w:rPr>
          <w:rFonts w:eastAsiaTheme="minorHAnsi"/>
          <w:lang w:eastAsia="en-US"/>
        </w:rPr>
        <w:t>и арбитраж</w:t>
      </w:r>
      <w:r w:rsidR="001478E6">
        <w:rPr>
          <w:rFonts w:eastAsiaTheme="minorHAnsi"/>
          <w:lang w:eastAsia="en-US"/>
        </w:rPr>
        <w:t xml:space="preserve"> </w:t>
      </w:r>
      <w:r w:rsidR="00151C37" w:rsidRPr="00856424">
        <w:rPr>
          <w:rFonts w:eastAsiaTheme="minorHAnsi"/>
          <w:lang w:eastAsia="en-US"/>
        </w:rPr>
        <w:t xml:space="preserve">(който </w:t>
      </w:r>
      <w:r w:rsidR="00151C37" w:rsidRPr="00856424">
        <w:rPr>
          <w:rFonts w:eastAsiaTheme="minorHAnsi"/>
          <w:lang w:eastAsia="en-US"/>
        </w:rPr>
        <w:lastRenderedPageBreak/>
        <w:t>отговаря и за анализа на колективните трудови договори), за периода 31.12.2017-31.08.2021 г. броят на колективните трудови договори, об</w:t>
      </w:r>
      <w:r w:rsidR="001478E6">
        <w:rPr>
          <w:rFonts w:eastAsiaTheme="minorHAnsi"/>
          <w:lang w:eastAsia="en-US"/>
        </w:rPr>
        <w:t xml:space="preserve">хващащи работата от разстояние </w:t>
      </w:r>
      <w:r w:rsidR="00151C37" w:rsidRPr="00856424">
        <w:rPr>
          <w:rFonts w:eastAsiaTheme="minorHAnsi"/>
          <w:lang w:eastAsia="en-US"/>
        </w:rPr>
        <w:t xml:space="preserve">непрекъснато нараства, но все още остава </w:t>
      </w:r>
      <w:r w:rsidRPr="00856424">
        <w:rPr>
          <w:rFonts w:eastAsiaTheme="minorHAnsi"/>
          <w:lang w:eastAsia="en-US"/>
        </w:rPr>
        <w:t>доста нисък:</w:t>
      </w:r>
      <w:r w:rsidR="00151C37" w:rsidRPr="00856424">
        <w:rPr>
          <w:rFonts w:eastAsiaTheme="minorHAnsi"/>
          <w:lang w:eastAsia="en-US"/>
        </w:rPr>
        <w:t xml:space="preserve"> от 11 предприятия, обхващащи 566 служители през 2017 г., до 74 предприятия, обхващащи 5 668 служители през 2021 г. (60 в сектора на образованието). </w:t>
      </w:r>
      <w:r w:rsidR="00151C37" w:rsidRPr="00F67C9C">
        <w:rPr>
          <w:rFonts w:eastAsiaTheme="minorHAnsi"/>
          <w:lang w:eastAsia="en-US"/>
        </w:rPr>
        <w:t>На секторно равнище има само 2 колективни договора</w:t>
      </w:r>
      <w:r w:rsidR="0000760E" w:rsidRPr="00F67C9C">
        <w:rPr>
          <w:rFonts w:eastAsiaTheme="minorHAnsi"/>
          <w:lang w:eastAsia="en-US"/>
        </w:rPr>
        <w:t>,</w:t>
      </w:r>
      <w:r w:rsidR="0000760E">
        <w:rPr>
          <w:rFonts w:eastAsiaTheme="minorHAnsi"/>
          <w:lang w:eastAsia="en-US"/>
        </w:rPr>
        <w:t xml:space="preserve"> </w:t>
      </w:r>
      <w:r w:rsidR="0000760E" w:rsidRPr="00160C13">
        <w:rPr>
          <w:rFonts w:eastAsiaTheme="minorHAnsi"/>
          <w:lang w:eastAsia="en-US"/>
        </w:rPr>
        <w:t>съдържащи клаузи за работа от разстояние</w:t>
      </w:r>
      <w:r w:rsidR="00151C37" w:rsidRPr="00160C13">
        <w:rPr>
          <w:rFonts w:eastAsiaTheme="minorHAnsi"/>
          <w:lang w:eastAsia="en-US"/>
        </w:rPr>
        <w:t xml:space="preserve"> - в сектора на образованието и в сектора на строителството.</w:t>
      </w:r>
    </w:p>
    <w:p w:rsidR="00151C37" w:rsidRDefault="00151C37" w:rsidP="00B334C5">
      <w:pPr>
        <w:tabs>
          <w:tab w:val="left" w:pos="9356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0C13">
        <w:rPr>
          <w:rFonts w:eastAsiaTheme="minorHAnsi"/>
          <w:lang w:eastAsia="en-US"/>
        </w:rPr>
        <w:t xml:space="preserve">Пандемията очевидно е дала тласък на това увеличение. Въпреки това </w:t>
      </w:r>
      <w:r w:rsidR="003A476C" w:rsidRPr="00160C13">
        <w:rPr>
          <w:rFonts w:eastAsiaTheme="minorHAnsi"/>
          <w:lang w:eastAsia="en-US"/>
        </w:rPr>
        <w:t xml:space="preserve">ниският брой </w:t>
      </w:r>
      <w:r w:rsidRPr="00160C13">
        <w:rPr>
          <w:rFonts w:eastAsiaTheme="minorHAnsi"/>
          <w:lang w:eastAsia="en-US"/>
        </w:rPr>
        <w:t xml:space="preserve">на </w:t>
      </w:r>
      <w:r w:rsidR="0000760E" w:rsidRPr="00160C13">
        <w:rPr>
          <w:rFonts w:eastAsiaTheme="minorHAnsi"/>
          <w:lang w:eastAsia="en-US"/>
        </w:rPr>
        <w:t xml:space="preserve">колективните </w:t>
      </w:r>
      <w:r w:rsidR="00F67C9C" w:rsidRPr="00160C13">
        <w:rPr>
          <w:rFonts w:eastAsiaTheme="minorHAnsi"/>
          <w:lang w:eastAsia="en-US"/>
        </w:rPr>
        <w:t>трудови преговори</w:t>
      </w:r>
      <w:r w:rsidRPr="00160C13">
        <w:rPr>
          <w:rFonts w:eastAsiaTheme="minorHAnsi"/>
          <w:lang w:eastAsia="en-US"/>
        </w:rPr>
        <w:t xml:space="preserve"> по този въпрос може да бъде обяснен до голяма степен с използването на дистанционната работа във времето преди пандемията, както и с нивото на използване на гъвкави схеми на работа. Сега, след като Ковид</w:t>
      </w:r>
      <w:r w:rsidR="003A476C" w:rsidRPr="00160C13">
        <w:rPr>
          <w:rFonts w:eastAsiaTheme="minorHAnsi"/>
          <w:lang w:eastAsia="en-US"/>
        </w:rPr>
        <w:t>-19</w:t>
      </w:r>
      <w:r w:rsidRPr="00160C13">
        <w:rPr>
          <w:rFonts w:eastAsiaTheme="minorHAnsi"/>
          <w:lang w:eastAsia="en-US"/>
        </w:rPr>
        <w:t xml:space="preserve"> наложи задължителното използване на работата от разстояние</w:t>
      </w:r>
      <w:r w:rsidR="0000760E" w:rsidRPr="00160C13">
        <w:rPr>
          <w:rFonts w:eastAsiaTheme="minorHAnsi"/>
          <w:lang w:eastAsia="en-US"/>
        </w:rPr>
        <w:t xml:space="preserve"> там където е възможно</w:t>
      </w:r>
      <w:r w:rsidRPr="00160C13">
        <w:rPr>
          <w:rFonts w:eastAsiaTheme="minorHAnsi"/>
          <w:lang w:eastAsia="en-US"/>
        </w:rPr>
        <w:t xml:space="preserve">, темата </w:t>
      </w:r>
      <w:r w:rsidRPr="00856424">
        <w:rPr>
          <w:rFonts w:eastAsiaTheme="minorHAnsi"/>
          <w:lang w:eastAsia="en-US"/>
        </w:rPr>
        <w:t xml:space="preserve">става все по-актуална за всички </w:t>
      </w:r>
      <w:r w:rsidR="003A476C" w:rsidRPr="00856424">
        <w:rPr>
          <w:rFonts w:eastAsiaTheme="minorHAnsi"/>
          <w:lang w:eastAsia="en-US"/>
        </w:rPr>
        <w:t>фирми и предприятия</w:t>
      </w:r>
      <w:r w:rsidRPr="00856424">
        <w:rPr>
          <w:rFonts w:eastAsiaTheme="minorHAnsi"/>
          <w:lang w:eastAsia="en-US"/>
        </w:rPr>
        <w:t>, независимо дали вод</w:t>
      </w:r>
      <w:r w:rsidR="00EC728C" w:rsidRPr="00856424">
        <w:rPr>
          <w:rFonts w:eastAsiaTheme="minorHAnsi"/>
          <w:lang w:eastAsia="en-US"/>
        </w:rPr>
        <w:t>ят колективни преговори или не.</w:t>
      </w:r>
    </w:p>
    <w:p w:rsidR="008B28E6" w:rsidRPr="00856424" w:rsidRDefault="008B28E6" w:rsidP="00B334C5">
      <w:pPr>
        <w:tabs>
          <w:tab w:val="left" w:pos="9356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320C48" w:rsidRPr="00856424" w:rsidRDefault="00EC728C" w:rsidP="00B334C5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Theme="minorHAnsi"/>
          <w:b/>
          <w:lang w:eastAsia="en-US"/>
        </w:rPr>
      </w:pPr>
      <w:r w:rsidRPr="00856424">
        <w:rPr>
          <w:rFonts w:eastAsiaTheme="minorHAnsi"/>
          <w:b/>
          <w:lang w:eastAsia="en-US"/>
        </w:rPr>
        <w:t xml:space="preserve">Ролята на социалните партньори </w:t>
      </w:r>
    </w:p>
    <w:p w:rsidR="00735754" w:rsidRPr="00735754" w:rsidRDefault="00735754" w:rsidP="00735754">
      <w:pPr>
        <w:pStyle w:val="ListParagraph"/>
        <w:numPr>
          <w:ilvl w:val="1"/>
          <w:numId w:val="4"/>
        </w:numPr>
        <w:spacing w:line="360" w:lineRule="auto"/>
        <w:jc w:val="both"/>
        <w:rPr>
          <w:rFonts w:eastAsiaTheme="minorHAnsi"/>
          <w:b/>
          <w:lang w:eastAsia="en-US"/>
        </w:rPr>
      </w:pPr>
      <w:r w:rsidRPr="0000760E">
        <w:rPr>
          <w:rFonts w:eastAsiaTheme="minorHAnsi"/>
          <w:b/>
          <w:lang w:eastAsia="en-US"/>
        </w:rPr>
        <w:t xml:space="preserve"> </w:t>
      </w:r>
      <w:r w:rsidRPr="00735754">
        <w:rPr>
          <w:rFonts w:eastAsiaTheme="minorHAnsi"/>
          <w:b/>
          <w:lang w:eastAsia="en-US"/>
        </w:rPr>
        <w:t xml:space="preserve">Актуално състояние по основните въпроси, уредени от </w:t>
      </w:r>
      <w:r w:rsidRPr="00735754">
        <w:rPr>
          <w:rFonts w:eastAsiaTheme="minorHAnsi"/>
          <w:b/>
          <w:iCs/>
          <w:lang w:eastAsia="en-US"/>
        </w:rPr>
        <w:t>Рамковото споразумение на европейските социални партньори по дигитализация</w:t>
      </w:r>
    </w:p>
    <w:p w:rsidR="00A05EE5" w:rsidRPr="0000760E" w:rsidRDefault="00A05EE5" w:rsidP="00B334C5">
      <w:pPr>
        <w:spacing w:line="259" w:lineRule="auto"/>
        <w:ind w:firstLine="720"/>
        <w:jc w:val="both"/>
        <w:rPr>
          <w:rFonts w:eastAsia="Calibri"/>
          <w:b/>
          <w:bCs/>
          <w:lang w:eastAsia="en-US"/>
        </w:rPr>
      </w:pPr>
    </w:p>
    <w:p w:rsidR="00C6637D" w:rsidRDefault="006702F7" w:rsidP="00B334C5">
      <w:pPr>
        <w:spacing w:line="259" w:lineRule="auto"/>
        <w:ind w:firstLine="720"/>
        <w:jc w:val="both"/>
        <w:rPr>
          <w:rFonts w:eastAsia="Calibri"/>
          <w:b/>
          <w:bCs/>
          <w:lang w:eastAsia="en-US"/>
        </w:rPr>
      </w:pPr>
      <w:r w:rsidRPr="00856424">
        <w:rPr>
          <w:rFonts w:eastAsia="Calibri"/>
          <w:b/>
          <w:bCs/>
          <w:lang w:eastAsia="en-US"/>
        </w:rPr>
        <w:t xml:space="preserve">Дигитални умения </w:t>
      </w:r>
    </w:p>
    <w:p w:rsidR="008B1ED4" w:rsidRPr="00856424" w:rsidRDefault="008B1ED4" w:rsidP="00B334C5">
      <w:pPr>
        <w:spacing w:line="259" w:lineRule="auto"/>
        <w:ind w:firstLine="720"/>
        <w:jc w:val="both"/>
        <w:rPr>
          <w:rFonts w:eastAsia="Calibri"/>
          <w:b/>
          <w:bCs/>
          <w:lang w:eastAsia="en-US"/>
        </w:rPr>
      </w:pPr>
    </w:p>
    <w:p w:rsidR="006702F7" w:rsidRDefault="006702F7" w:rsidP="00B334C5">
      <w:pPr>
        <w:spacing w:line="360" w:lineRule="auto"/>
        <w:ind w:firstLine="720"/>
        <w:jc w:val="both"/>
        <w:rPr>
          <w:rFonts w:eastAsiaTheme="majorEastAsia"/>
        </w:rPr>
      </w:pPr>
      <w:r w:rsidRPr="00856424">
        <w:rPr>
          <w:rFonts w:eastAsiaTheme="majorEastAsia"/>
        </w:rPr>
        <w:t xml:space="preserve">Социалните партньори определят </w:t>
      </w:r>
      <w:r w:rsidR="004A53E4" w:rsidRPr="00856424">
        <w:rPr>
          <w:rFonts w:eastAsiaTheme="majorEastAsia"/>
        </w:rPr>
        <w:t xml:space="preserve">дигиталните </w:t>
      </w:r>
      <w:r w:rsidRPr="00856424">
        <w:rPr>
          <w:rFonts w:eastAsiaTheme="majorEastAsia"/>
        </w:rPr>
        <w:t xml:space="preserve">умения като един от ключовите компоненти в процеса на </w:t>
      </w:r>
      <w:r w:rsidR="004A53E4" w:rsidRPr="00856424">
        <w:rPr>
          <w:rFonts w:eastAsiaTheme="majorEastAsia"/>
        </w:rPr>
        <w:t>дигитална</w:t>
      </w:r>
      <w:r w:rsidRPr="00856424">
        <w:rPr>
          <w:rFonts w:eastAsiaTheme="majorEastAsia"/>
        </w:rPr>
        <w:t xml:space="preserve"> трансформация на икономиката. Социалните партньори обединиха усилията си за организиране на отделна схема за социалните партньори, която да се финансира от ЕСФ, управляван от Министерството на труда и социалната политика.  В рамките на схемата "Развитие на </w:t>
      </w:r>
      <w:r w:rsidR="00AB1DFF" w:rsidRPr="00856424">
        <w:rPr>
          <w:rFonts w:eastAsiaTheme="majorEastAsia"/>
        </w:rPr>
        <w:t>дигитални</w:t>
      </w:r>
      <w:r w:rsidRPr="00856424">
        <w:rPr>
          <w:rFonts w:eastAsiaTheme="majorEastAsia"/>
        </w:rPr>
        <w:t xml:space="preserve"> умения" социалните партньори стартираха съвместни проекти в партньорство с Министерството на труда в България. Целта на проектите е да се разработят, тестват и одобрят </w:t>
      </w:r>
      <w:r w:rsidRPr="00856424">
        <w:rPr>
          <w:rFonts w:eastAsiaTheme="majorEastAsia"/>
          <w:b/>
          <w:i/>
        </w:rPr>
        <w:t xml:space="preserve">унифицирани профили на </w:t>
      </w:r>
      <w:r w:rsidR="00AB1DFF" w:rsidRPr="008B28E6">
        <w:rPr>
          <w:rFonts w:eastAsiaTheme="majorEastAsia"/>
          <w:b/>
          <w:i/>
        </w:rPr>
        <w:t>дигиталните</w:t>
      </w:r>
      <w:r w:rsidRPr="00856424">
        <w:rPr>
          <w:rFonts w:eastAsiaTheme="majorEastAsia"/>
          <w:b/>
          <w:i/>
        </w:rPr>
        <w:t xml:space="preserve"> умения на работната сила в България за ключови професии в 97 от 99 икономически дейности</w:t>
      </w:r>
      <w:r w:rsidRPr="00856424">
        <w:rPr>
          <w:rFonts w:eastAsiaTheme="majorEastAsia"/>
        </w:rPr>
        <w:t xml:space="preserve">. Те ще се фокусират върху идентифицирането на конкретните нива на </w:t>
      </w:r>
      <w:r w:rsidR="00AB1DFF" w:rsidRPr="00856424">
        <w:rPr>
          <w:rFonts w:eastAsiaTheme="majorEastAsia"/>
        </w:rPr>
        <w:t>дигитални</w:t>
      </w:r>
      <w:r w:rsidRPr="00856424">
        <w:rPr>
          <w:rFonts w:eastAsiaTheme="majorEastAsia"/>
        </w:rPr>
        <w:t xml:space="preserve"> умения на работната сила на секторно ниво, специфичните дефицити и подпомагането на придобиването на </w:t>
      </w:r>
      <w:r w:rsidR="00AB1DFF" w:rsidRPr="00856424">
        <w:rPr>
          <w:rFonts w:eastAsiaTheme="majorEastAsia"/>
        </w:rPr>
        <w:t>дигитални</w:t>
      </w:r>
      <w:r w:rsidRPr="00856424">
        <w:rPr>
          <w:rFonts w:eastAsiaTheme="majorEastAsia"/>
        </w:rPr>
        <w:t xml:space="preserve"> умения, необходими за </w:t>
      </w:r>
      <w:r w:rsidRPr="00856424">
        <w:rPr>
          <w:rFonts w:eastAsiaTheme="majorEastAsia"/>
        </w:rPr>
        <w:lastRenderedPageBreak/>
        <w:t xml:space="preserve">изпълнението на ежедневните работни задачи. Определянето на нивата на </w:t>
      </w:r>
      <w:r w:rsidR="00AB1DFF" w:rsidRPr="00856424">
        <w:rPr>
          <w:rFonts w:eastAsiaTheme="majorEastAsia"/>
        </w:rPr>
        <w:t>дигиталните</w:t>
      </w:r>
      <w:r w:rsidRPr="00856424">
        <w:rPr>
          <w:rFonts w:eastAsiaTheme="majorEastAsia"/>
        </w:rPr>
        <w:t xml:space="preserve"> умения трябва да бъде в съответствие с европейската рамка DigComp2.1. Други дейности, които ще бъдат подкрепен</w:t>
      </w:r>
      <w:r w:rsidR="008B28E6">
        <w:rPr>
          <w:rFonts w:eastAsiaTheme="majorEastAsia"/>
        </w:rPr>
        <w:t>и</w:t>
      </w:r>
      <w:r w:rsidRPr="00856424">
        <w:rPr>
          <w:rFonts w:eastAsiaTheme="majorEastAsia"/>
        </w:rPr>
        <w:t xml:space="preserve"> са разработването, тестването и изпробването на програми за неформално обучение за развиване на специфични </w:t>
      </w:r>
      <w:r w:rsidR="00AB1DFF" w:rsidRPr="00856424">
        <w:rPr>
          <w:rFonts w:eastAsiaTheme="majorEastAsia"/>
        </w:rPr>
        <w:t>дигитални</w:t>
      </w:r>
      <w:r w:rsidRPr="00856424">
        <w:rPr>
          <w:rFonts w:eastAsiaTheme="majorEastAsia"/>
        </w:rPr>
        <w:t xml:space="preserve"> умения. Продължителността на проекта е две години с финансовата подкрепа на ЕСФ.</w:t>
      </w:r>
    </w:p>
    <w:p w:rsidR="008B28E6" w:rsidRPr="00856424" w:rsidRDefault="008B28E6" w:rsidP="00B334C5">
      <w:pPr>
        <w:spacing w:line="360" w:lineRule="auto"/>
        <w:ind w:firstLine="720"/>
        <w:jc w:val="both"/>
        <w:rPr>
          <w:rFonts w:eastAsiaTheme="majorEastAsia"/>
        </w:rPr>
      </w:pPr>
    </w:p>
    <w:p w:rsidR="006702F7" w:rsidRDefault="006702F7" w:rsidP="00B334C5">
      <w:pPr>
        <w:spacing w:line="259" w:lineRule="auto"/>
        <w:ind w:firstLine="720"/>
        <w:jc w:val="both"/>
        <w:rPr>
          <w:rFonts w:eastAsia="Calibri"/>
          <w:b/>
          <w:bCs/>
          <w:lang w:eastAsia="en-US"/>
        </w:rPr>
      </w:pPr>
      <w:r w:rsidRPr="008B28E6">
        <w:rPr>
          <w:rFonts w:eastAsia="Calibri"/>
          <w:b/>
          <w:bCs/>
          <w:lang w:eastAsia="en-US"/>
        </w:rPr>
        <w:t xml:space="preserve">Условия за свързване и </w:t>
      </w:r>
      <w:r w:rsidR="00C824C3" w:rsidRPr="008B28E6">
        <w:rPr>
          <w:rFonts w:eastAsia="Calibri"/>
          <w:b/>
          <w:bCs/>
          <w:lang w:eastAsia="en-US"/>
        </w:rPr>
        <w:t xml:space="preserve">прекъсване </w:t>
      </w:r>
    </w:p>
    <w:p w:rsidR="00160C13" w:rsidRPr="00856424" w:rsidRDefault="00160C13" w:rsidP="00B334C5">
      <w:pPr>
        <w:spacing w:line="259" w:lineRule="auto"/>
        <w:ind w:firstLine="720"/>
        <w:jc w:val="both"/>
        <w:rPr>
          <w:rFonts w:eastAsia="Calibri"/>
          <w:b/>
          <w:bCs/>
          <w:lang w:eastAsia="en-US"/>
        </w:rPr>
      </w:pPr>
    </w:p>
    <w:p w:rsidR="006702F7" w:rsidRPr="00856424" w:rsidRDefault="006702F7" w:rsidP="00B334C5">
      <w:pPr>
        <w:spacing w:line="360" w:lineRule="auto"/>
        <w:ind w:firstLine="720"/>
        <w:jc w:val="both"/>
        <w:rPr>
          <w:rStyle w:val="jlqj4b"/>
          <w:rFonts w:eastAsiaTheme="majorEastAsia"/>
        </w:rPr>
      </w:pPr>
      <w:r w:rsidRPr="00856424">
        <w:rPr>
          <w:rStyle w:val="jlqj4b"/>
          <w:rFonts w:eastAsiaTheme="majorEastAsia"/>
        </w:rPr>
        <w:t xml:space="preserve">Нито в законодателството, нито в колективното трудово договаряне </w:t>
      </w:r>
      <w:r w:rsidR="0000760E">
        <w:rPr>
          <w:rStyle w:val="jlqj4b"/>
          <w:rFonts w:eastAsiaTheme="majorEastAsia"/>
        </w:rPr>
        <w:t xml:space="preserve"> </w:t>
      </w:r>
      <w:r w:rsidR="0000760E" w:rsidRPr="00160C13">
        <w:rPr>
          <w:rStyle w:val="jlqj4b"/>
          <w:rFonts w:eastAsiaTheme="majorEastAsia"/>
        </w:rPr>
        <w:t>съществуват</w:t>
      </w:r>
      <w:r w:rsidRPr="00160C13">
        <w:rPr>
          <w:rStyle w:val="jlqj4b"/>
          <w:rFonts w:eastAsiaTheme="majorEastAsia"/>
        </w:rPr>
        <w:t xml:space="preserve"> конкретни правила, които да уреждат начините на свързване и </w:t>
      </w:r>
      <w:r w:rsidR="00C824C3" w:rsidRPr="00160C13">
        <w:rPr>
          <w:rStyle w:val="jlqj4b"/>
          <w:rFonts w:eastAsiaTheme="majorEastAsia"/>
        </w:rPr>
        <w:t>прекъсване на връзката/</w:t>
      </w:r>
      <w:r w:rsidRPr="00160C13">
        <w:rPr>
          <w:rStyle w:val="jlqj4b"/>
          <w:rFonts w:eastAsiaTheme="majorEastAsia"/>
        </w:rPr>
        <w:t>изключване</w:t>
      </w:r>
      <w:r w:rsidR="0000760E" w:rsidRPr="00160C13">
        <w:rPr>
          <w:rStyle w:val="jlqj4b"/>
          <w:rFonts w:eastAsiaTheme="majorEastAsia"/>
        </w:rPr>
        <w:t xml:space="preserve"> от работната среда</w:t>
      </w:r>
      <w:r w:rsidRPr="00160C13">
        <w:rPr>
          <w:rStyle w:val="jlqj4b"/>
          <w:rFonts w:eastAsiaTheme="majorEastAsia"/>
        </w:rPr>
        <w:t xml:space="preserve">. Прилагат се общите правила за работното време, тъй като се очаква, че въпреки новите технологии, които навлизат постепенно в живота </w:t>
      </w:r>
      <w:r w:rsidRPr="00856424">
        <w:rPr>
          <w:rStyle w:val="jlqj4b"/>
          <w:rFonts w:eastAsiaTheme="majorEastAsia"/>
        </w:rPr>
        <w:t xml:space="preserve">ни през последното десетилетие, правата и задълженията на работодателите и работниците остават същите. Работодателите са длъжни да спазват работното време във всички случаи - това обхваща и работата от разстояние. Това е изрично уредено в Кодекса на труда. </w:t>
      </w:r>
    </w:p>
    <w:p w:rsidR="006702F7" w:rsidRPr="00856424" w:rsidRDefault="006702F7" w:rsidP="00B334C5">
      <w:pPr>
        <w:spacing w:line="360" w:lineRule="auto"/>
        <w:ind w:firstLine="720"/>
        <w:jc w:val="both"/>
        <w:rPr>
          <w:rStyle w:val="jlqj4b"/>
          <w:rFonts w:eastAsiaTheme="majorEastAsia"/>
        </w:rPr>
      </w:pPr>
      <w:r w:rsidRPr="00856424">
        <w:rPr>
          <w:rStyle w:val="jlqj4b"/>
          <w:rFonts w:eastAsiaTheme="majorEastAsia"/>
        </w:rPr>
        <w:t>Не съществуват разпоредби относно възможността за използване на цифрови инструменти за лични цели през работно време. Тези въпроси са оставени да бъдат регулирани на ниво предприятие и могат да бъдат предмет на колективно договаряне. И тук важи общото изискване, че работникът трябва да изпълнява възложената му задача през работното време.</w:t>
      </w:r>
    </w:p>
    <w:p w:rsidR="006702F7" w:rsidRPr="00856424" w:rsidRDefault="006702F7" w:rsidP="00B334C5">
      <w:pPr>
        <w:spacing w:line="360" w:lineRule="auto"/>
        <w:ind w:firstLine="720"/>
        <w:jc w:val="both"/>
        <w:rPr>
          <w:rStyle w:val="jlqj4b"/>
          <w:rFonts w:eastAsiaTheme="majorEastAsia"/>
        </w:rPr>
      </w:pPr>
      <w:r w:rsidRPr="00856424">
        <w:rPr>
          <w:rStyle w:val="jlqj4b"/>
          <w:rFonts w:eastAsiaTheme="majorEastAsia"/>
        </w:rPr>
        <w:t>Въпросите, свързани с извънредния труд и неговото заплащане, също са уредени в Кодекса на труда.</w:t>
      </w:r>
    </w:p>
    <w:p w:rsidR="006702F7" w:rsidRPr="00856424" w:rsidRDefault="006702F7" w:rsidP="00B334C5">
      <w:pPr>
        <w:spacing w:line="360" w:lineRule="auto"/>
        <w:ind w:firstLine="720"/>
        <w:jc w:val="both"/>
        <w:rPr>
          <w:rStyle w:val="jlqj4b"/>
          <w:rFonts w:eastAsiaTheme="majorEastAsia"/>
        </w:rPr>
      </w:pPr>
      <w:r w:rsidRPr="00856424">
        <w:rPr>
          <w:rStyle w:val="jlqj4b"/>
          <w:rFonts w:eastAsiaTheme="majorEastAsia"/>
        </w:rPr>
        <w:t xml:space="preserve">Другите въпроси, обхванати от Споразумението за </w:t>
      </w:r>
      <w:proofErr w:type="spellStart"/>
      <w:r w:rsidRPr="00856424">
        <w:rPr>
          <w:rStyle w:val="jlqj4b"/>
          <w:rFonts w:eastAsiaTheme="majorEastAsia"/>
        </w:rPr>
        <w:t>цифровизация</w:t>
      </w:r>
      <w:proofErr w:type="spellEnd"/>
      <w:r w:rsidRPr="00856424">
        <w:rPr>
          <w:rStyle w:val="jlqj4b"/>
          <w:rFonts w:eastAsiaTheme="majorEastAsia"/>
        </w:rPr>
        <w:t xml:space="preserve">, като например </w:t>
      </w:r>
      <w:r w:rsidRPr="00160C13">
        <w:rPr>
          <w:rStyle w:val="jlqj4b"/>
          <w:rFonts w:eastAsiaTheme="majorEastAsia"/>
        </w:rPr>
        <w:t xml:space="preserve">култура, която избягва </w:t>
      </w:r>
      <w:r w:rsidR="0003743D" w:rsidRPr="00160C13">
        <w:rPr>
          <w:rStyle w:val="jlqj4b"/>
          <w:rFonts w:eastAsiaTheme="majorEastAsia"/>
        </w:rPr>
        <w:t xml:space="preserve"> цифрови контакти/ свързаност</w:t>
      </w:r>
      <w:r w:rsidRPr="00160C13">
        <w:rPr>
          <w:rStyle w:val="jlqj4b"/>
          <w:rFonts w:eastAsiaTheme="majorEastAsia"/>
        </w:rPr>
        <w:t xml:space="preserve"> в </w:t>
      </w:r>
      <w:r w:rsidRPr="00856424">
        <w:rPr>
          <w:rStyle w:val="jlqj4b"/>
          <w:rFonts w:eastAsiaTheme="majorEastAsia"/>
        </w:rPr>
        <w:t>извънработно време, процеду</w:t>
      </w:r>
      <w:r w:rsidR="00C824C3" w:rsidRPr="00856424">
        <w:rPr>
          <w:rStyle w:val="jlqj4b"/>
          <w:rFonts w:eastAsiaTheme="majorEastAsia"/>
        </w:rPr>
        <w:t>ри за предупреждение и подкрепа,</w:t>
      </w:r>
      <w:r w:rsidRPr="00856424">
        <w:rPr>
          <w:rStyle w:val="jlqj4b"/>
          <w:rFonts w:eastAsiaTheme="majorEastAsia"/>
        </w:rPr>
        <w:t xml:space="preserve"> предотвратяване на изолацията на работното място, до голяма степен са част от политиките на </w:t>
      </w:r>
      <w:r w:rsidR="00C824C3" w:rsidRPr="00856424">
        <w:rPr>
          <w:rStyle w:val="jlqj4b"/>
          <w:rFonts w:eastAsiaTheme="majorEastAsia"/>
        </w:rPr>
        <w:t>компаниите</w:t>
      </w:r>
      <w:r w:rsidRPr="00856424">
        <w:rPr>
          <w:rStyle w:val="jlqj4b"/>
          <w:rFonts w:eastAsiaTheme="majorEastAsia"/>
        </w:rPr>
        <w:t xml:space="preserve"> в областта на човешките ресурси</w:t>
      </w:r>
      <w:r w:rsidR="003642AB">
        <w:rPr>
          <w:rStyle w:val="jlqj4b"/>
          <w:rFonts w:eastAsiaTheme="majorEastAsia"/>
        </w:rPr>
        <w:t>.</w:t>
      </w:r>
    </w:p>
    <w:p w:rsidR="003642AB" w:rsidRDefault="003642AB" w:rsidP="00B334C5">
      <w:pPr>
        <w:spacing w:line="360" w:lineRule="auto"/>
        <w:jc w:val="both"/>
        <w:rPr>
          <w:rFonts w:eastAsia="Calibri"/>
          <w:b/>
          <w:bCs/>
          <w:lang w:eastAsia="en-US"/>
        </w:rPr>
      </w:pPr>
    </w:p>
    <w:p w:rsidR="005A4C3F" w:rsidRDefault="006702F7" w:rsidP="003642AB">
      <w:pPr>
        <w:spacing w:line="360" w:lineRule="auto"/>
        <w:ind w:left="720"/>
        <w:jc w:val="both"/>
        <w:rPr>
          <w:rFonts w:eastAsia="Calibri"/>
          <w:b/>
          <w:bCs/>
          <w:lang w:eastAsia="en-US"/>
        </w:rPr>
      </w:pPr>
      <w:r w:rsidRPr="00856424">
        <w:rPr>
          <w:rFonts w:eastAsia="Calibri"/>
          <w:b/>
          <w:bCs/>
          <w:lang w:eastAsia="en-US"/>
        </w:rPr>
        <w:t>Изкуствен интелект (ИИ) и гарантиране на принципа "човекът контролира". Зачитане на човешкото достойнство и наблюдение</w:t>
      </w:r>
    </w:p>
    <w:p w:rsidR="008B1ED4" w:rsidRPr="00856424" w:rsidRDefault="008B1ED4" w:rsidP="003642AB">
      <w:pPr>
        <w:spacing w:line="360" w:lineRule="auto"/>
        <w:ind w:left="720"/>
        <w:jc w:val="both"/>
        <w:rPr>
          <w:rFonts w:eastAsia="Calibri"/>
          <w:bCs/>
          <w:lang w:eastAsia="en-US"/>
        </w:rPr>
      </w:pPr>
    </w:p>
    <w:p w:rsidR="006702F7" w:rsidRDefault="006702F7" w:rsidP="00B334C5">
      <w:pPr>
        <w:spacing w:line="360" w:lineRule="auto"/>
        <w:ind w:firstLine="720"/>
        <w:jc w:val="both"/>
        <w:rPr>
          <w:rFonts w:eastAsia="Calibri"/>
          <w:bCs/>
          <w:lang w:eastAsia="en-US"/>
        </w:rPr>
      </w:pPr>
      <w:r w:rsidRPr="00856424">
        <w:rPr>
          <w:rFonts w:eastAsia="Calibri"/>
          <w:bCs/>
          <w:lang w:eastAsia="en-US"/>
        </w:rPr>
        <w:t>ИИ не е обхванат нито от законодателството, нито от колективното трудово договаряне. По отношение на зачитането на човешкото достойнство и наблюдението</w:t>
      </w:r>
      <w:r w:rsidR="00C824C3" w:rsidRPr="00856424">
        <w:rPr>
          <w:rFonts w:eastAsia="Calibri"/>
          <w:bCs/>
          <w:lang w:eastAsia="en-US"/>
        </w:rPr>
        <w:t>,</w:t>
      </w:r>
      <w:r w:rsidRPr="00856424">
        <w:rPr>
          <w:rFonts w:eastAsia="Calibri"/>
          <w:bCs/>
          <w:lang w:eastAsia="en-US"/>
        </w:rPr>
        <w:t xml:space="preserve"> </w:t>
      </w:r>
      <w:r w:rsidRPr="00856424">
        <w:rPr>
          <w:rFonts w:eastAsia="Calibri"/>
          <w:bCs/>
          <w:lang w:eastAsia="en-US"/>
        </w:rPr>
        <w:lastRenderedPageBreak/>
        <w:t>единствен</w:t>
      </w:r>
      <w:r w:rsidR="00C824C3" w:rsidRPr="00856424">
        <w:rPr>
          <w:rFonts w:eastAsia="Calibri"/>
          <w:bCs/>
          <w:lang w:eastAsia="en-US"/>
        </w:rPr>
        <w:t>ите разпоредби, които са въведени са тези</w:t>
      </w:r>
      <w:r w:rsidRPr="00856424">
        <w:rPr>
          <w:rFonts w:eastAsia="Calibri"/>
          <w:bCs/>
          <w:lang w:eastAsia="en-US"/>
        </w:rPr>
        <w:t xml:space="preserve"> произтичащи от </w:t>
      </w:r>
      <w:r w:rsidR="00C824C3" w:rsidRPr="00856424">
        <w:rPr>
          <w:rFonts w:eastAsia="Calibri"/>
          <w:bCs/>
          <w:lang w:eastAsia="en-US"/>
        </w:rPr>
        <w:t>Общия регламент относно защитата на данните (</w:t>
      </w:r>
      <w:r w:rsidRPr="00856424">
        <w:rPr>
          <w:rFonts w:eastAsia="Calibri"/>
          <w:bCs/>
          <w:lang w:eastAsia="en-US"/>
        </w:rPr>
        <w:t>GDPR</w:t>
      </w:r>
      <w:r w:rsidR="00C824C3" w:rsidRPr="00856424">
        <w:rPr>
          <w:rFonts w:eastAsia="Calibri"/>
          <w:bCs/>
          <w:lang w:eastAsia="en-US"/>
        </w:rPr>
        <w:t>)</w:t>
      </w:r>
      <w:r w:rsidRPr="00856424">
        <w:rPr>
          <w:rFonts w:eastAsia="Calibri"/>
          <w:bCs/>
          <w:lang w:eastAsia="en-US"/>
        </w:rPr>
        <w:t>. И двете теми предстои да бъдат проучени от социалните партньори през следващите години, където те имат роля за установяване на съвместно признати стандарти и инструменти в подкрепа на своите членове.</w:t>
      </w:r>
    </w:p>
    <w:p w:rsidR="00FA2F22" w:rsidRPr="00856424" w:rsidRDefault="00FA2F22" w:rsidP="00B334C5">
      <w:pPr>
        <w:spacing w:line="360" w:lineRule="auto"/>
        <w:ind w:firstLine="720"/>
        <w:jc w:val="both"/>
        <w:rPr>
          <w:rFonts w:eastAsia="Calibri"/>
          <w:bCs/>
          <w:lang w:eastAsia="en-US"/>
        </w:rPr>
      </w:pPr>
    </w:p>
    <w:p w:rsidR="0081006E" w:rsidRDefault="008B1ED4" w:rsidP="00B334C5">
      <w:pPr>
        <w:pStyle w:val="ListParagraph"/>
        <w:numPr>
          <w:ilvl w:val="1"/>
          <w:numId w:val="4"/>
        </w:numPr>
        <w:spacing w:line="36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="0081006E" w:rsidRPr="00856424">
        <w:rPr>
          <w:rFonts w:eastAsiaTheme="minorHAnsi"/>
          <w:b/>
          <w:lang w:eastAsia="en-US"/>
        </w:rPr>
        <w:t>Предизвикателства и възможности пре</w:t>
      </w:r>
      <w:r w:rsidR="00FA2F22">
        <w:rPr>
          <w:rFonts w:eastAsiaTheme="minorHAnsi"/>
          <w:b/>
          <w:lang w:eastAsia="en-US"/>
        </w:rPr>
        <w:t xml:space="preserve">д социалния диалог, произтичащи </w:t>
      </w:r>
      <w:r w:rsidR="0081006E" w:rsidRPr="00856424">
        <w:rPr>
          <w:rFonts w:eastAsiaTheme="minorHAnsi"/>
          <w:b/>
          <w:lang w:eastAsia="en-US"/>
        </w:rPr>
        <w:t>от дигиталната трансформация на света на труда</w:t>
      </w:r>
    </w:p>
    <w:p w:rsidR="008B1ED4" w:rsidRPr="00856424" w:rsidRDefault="008B1ED4" w:rsidP="008B1ED4">
      <w:pPr>
        <w:pStyle w:val="ListParagraph"/>
        <w:spacing w:line="360" w:lineRule="auto"/>
        <w:ind w:left="1080"/>
        <w:jc w:val="both"/>
        <w:rPr>
          <w:rFonts w:eastAsiaTheme="minorHAnsi"/>
          <w:b/>
          <w:lang w:eastAsia="en-US"/>
        </w:rPr>
      </w:pPr>
    </w:p>
    <w:p w:rsidR="00435B5D" w:rsidRPr="00160C13" w:rsidRDefault="00435B5D" w:rsidP="00B334C5">
      <w:pPr>
        <w:spacing w:line="360" w:lineRule="auto"/>
        <w:ind w:firstLine="720"/>
        <w:jc w:val="both"/>
        <w:rPr>
          <w:rStyle w:val="jlqj4b"/>
          <w:rFonts w:eastAsiaTheme="majorEastAsia"/>
        </w:rPr>
      </w:pPr>
      <w:r w:rsidRPr="00856424">
        <w:rPr>
          <w:rStyle w:val="jlqj4b"/>
          <w:rFonts w:eastAsiaTheme="majorEastAsia"/>
        </w:rPr>
        <w:t>Колективното трудово договаряне в България се провежда само на браншово/секторно или фирмено ниво. Право да сключват колективни трудови договори (КТД) имат само браншови/секторни организации, които членуват в национално представителни организации на работодателите или работниците</w:t>
      </w:r>
      <w:r w:rsidRPr="00160C13">
        <w:rPr>
          <w:rStyle w:val="jlqj4b"/>
          <w:rFonts w:eastAsiaTheme="majorEastAsia"/>
        </w:rPr>
        <w:t>.</w:t>
      </w:r>
      <w:r w:rsidR="00D53A0A" w:rsidRPr="00160C13">
        <w:rPr>
          <w:rStyle w:val="jlqj4b"/>
          <w:rFonts w:eastAsiaTheme="majorEastAsia"/>
        </w:rPr>
        <w:t xml:space="preserve"> Според официалните статистически данни, предоставени от Националният статистически институт н</w:t>
      </w:r>
      <w:r w:rsidR="00160C13" w:rsidRPr="00160C13">
        <w:rPr>
          <w:rStyle w:val="jlqj4b"/>
          <w:rFonts w:eastAsiaTheme="majorEastAsia"/>
        </w:rPr>
        <w:t>а</w:t>
      </w:r>
      <w:r w:rsidR="00D53A0A" w:rsidRPr="00160C13">
        <w:rPr>
          <w:rStyle w:val="jlqj4b"/>
          <w:rFonts w:eastAsiaTheme="majorEastAsia"/>
        </w:rPr>
        <w:t xml:space="preserve"> Република България, към края на 2018 г. обхватът на колективното договаряне в България представлява 29,4% от всички наети или общо 600 272 работници и служители</w:t>
      </w:r>
      <w:r w:rsidR="00D53A0A" w:rsidRPr="00160C13">
        <w:rPr>
          <w:rStyle w:val="FootnoteReference"/>
          <w:rFonts w:eastAsiaTheme="majorEastAsia"/>
        </w:rPr>
        <w:footnoteReference w:id="7"/>
      </w:r>
      <w:r w:rsidR="00D53A0A" w:rsidRPr="00160C13">
        <w:rPr>
          <w:rStyle w:val="jlqj4b"/>
          <w:rFonts w:eastAsiaTheme="majorEastAsia"/>
        </w:rPr>
        <w:t xml:space="preserve"> от общо 2 038 040 наети (НСИ, 2021 г.; стр. 266).</w:t>
      </w:r>
      <w:r w:rsidRPr="00160C13">
        <w:rPr>
          <w:rStyle w:val="jlqj4b"/>
          <w:rFonts w:eastAsiaTheme="majorEastAsia"/>
        </w:rPr>
        <w:t xml:space="preserve"> </w:t>
      </w:r>
    </w:p>
    <w:p w:rsidR="00435B5D" w:rsidRPr="00856424" w:rsidRDefault="00435B5D" w:rsidP="00B334C5">
      <w:pPr>
        <w:spacing w:line="360" w:lineRule="auto"/>
        <w:ind w:firstLine="720"/>
        <w:jc w:val="both"/>
        <w:rPr>
          <w:rStyle w:val="jlqj4b"/>
          <w:rFonts w:eastAsiaTheme="majorEastAsia"/>
        </w:rPr>
      </w:pPr>
      <w:r w:rsidRPr="00856424">
        <w:rPr>
          <w:rStyle w:val="jlqj4b"/>
          <w:rFonts w:eastAsiaTheme="majorEastAsia"/>
        </w:rPr>
        <w:t xml:space="preserve">Въпреки че </w:t>
      </w:r>
      <w:r w:rsidR="00251D1E" w:rsidRPr="00856424">
        <w:rPr>
          <w:rStyle w:val="jlqj4b"/>
          <w:rFonts w:eastAsiaTheme="majorEastAsia"/>
        </w:rPr>
        <w:t>дигиталната</w:t>
      </w:r>
      <w:r w:rsidRPr="00856424">
        <w:rPr>
          <w:rStyle w:val="jlqj4b"/>
          <w:rFonts w:eastAsiaTheme="majorEastAsia"/>
        </w:rPr>
        <w:t xml:space="preserve"> трансформация е във фокуса на национално представителните социални партньори, темата не е особено актуална в колективното договаряне на секторно ниво. Едва след избухването на </w:t>
      </w:r>
      <w:r w:rsidR="006D6E0D" w:rsidRPr="00856424">
        <w:rPr>
          <w:rStyle w:val="jlqj4b"/>
          <w:rFonts w:eastAsiaTheme="majorEastAsia"/>
        </w:rPr>
        <w:t>Ковид</w:t>
      </w:r>
      <w:r w:rsidRPr="00856424">
        <w:rPr>
          <w:rStyle w:val="jlqj4b"/>
          <w:rFonts w:eastAsiaTheme="majorEastAsia"/>
        </w:rPr>
        <w:t>-19 няколко колективни трудови договора бяха измене</w:t>
      </w:r>
      <w:r w:rsidR="006D6E0D" w:rsidRPr="00856424">
        <w:rPr>
          <w:rStyle w:val="jlqj4b"/>
          <w:rFonts w:eastAsiaTheme="majorEastAsia"/>
        </w:rPr>
        <w:t xml:space="preserve">ни, за да се отразят въпросите за </w:t>
      </w:r>
      <w:r w:rsidRPr="00856424">
        <w:rPr>
          <w:rStyle w:val="jlqj4b"/>
          <w:rFonts w:eastAsiaTheme="majorEastAsia"/>
        </w:rPr>
        <w:t>заплащането, свързани главно със задължително въведената дистанционна работа. Доколкото ни е известно, нито една от четирите теми на Рамковот</w:t>
      </w:r>
      <w:r w:rsidR="006D6E0D" w:rsidRPr="00856424">
        <w:rPr>
          <w:rStyle w:val="jlqj4b"/>
          <w:rFonts w:eastAsiaTheme="majorEastAsia"/>
        </w:rPr>
        <w:t xml:space="preserve">о споразумение за </w:t>
      </w:r>
      <w:proofErr w:type="spellStart"/>
      <w:r w:rsidR="006D6E0D" w:rsidRPr="00856424">
        <w:rPr>
          <w:rStyle w:val="jlqj4b"/>
          <w:rFonts w:eastAsiaTheme="majorEastAsia"/>
        </w:rPr>
        <w:t>цифровизация</w:t>
      </w:r>
      <w:proofErr w:type="spellEnd"/>
      <w:r w:rsidRPr="00856424">
        <w:rPr>
          <w:rStyle w:val="jlqj4b"/>
          <w:rFonts w:eastAsiaTheme="majorEastAsia"/>
        </w:rPr>
        <w:t xml:space="preserve"> не е конкретно обхваната от колективните трудови договори на секторно равнище. До известна степен това може да се обясни с факта, че в продължение на много години колективните трудови договори обхващат предимно въпроси, които вече са уреде</w:t>
      </w:r>
      <w:r w:rsidR="00FA2F22">
        <w:rPr>
          <w:rStyle w:val="jlqj4b"/>
          <w:rFonts w:eastAsiaTheme="majorEastAsia"/>
        </w:rPr>
        <w:t>ни от трудовото законодателство</w:t>
      </w:r>
      <w:r w:rsidRPr="00856424">
        <w:rPr>
          <w:rStyle w:val="jlqj4b"/>
          <w:rFonts w:eastAsiaTheme="majorEastAsia"/>
        </w:rPr>
        <w:t xml:space="preserve"> и липсва опит или </w:t>
      </w:r>
      <w:r w:rsidR="00D53A0A">
        <w:rPr>
          <w:rStyle w:val="jlqj4b"/>
          <w:rFonts w:eastAsiaTheme="majorEastAsia"/>
        </w:rPr>
        <w:t>инициатива</w:t>
      </w:r>
      <w:r w:rsidRPr="00856424">
        <w:rPr>
          <w:rStyle w:val="jlqj4b"/>
          <w:rFonts w:eastAsiaTheme="majorEastAsia"/>
        </w:rPr>
        <w:t xml:space="preserve"> </w:t>
      </w:r>
      <w:r w:rsidR="006D6E0D" w:rsidRPr="00856424">
        <w:rPr>
          <w:rStyle w:val="jlqj4b"/>
          <w:rFonts w:eastAsiaTheme="majorEastAsia"/>
        </w:rPr>
        <w:t xml:space="preserve">от страна </w:t>
      </w:r>
      <w:r w:rsidRPr="00856424">
        <w:rPr>
          <w:rStyle w:val="jlqj4b"/>
          <w:rFonts w:eastAsiaTheme="majorEastAsia"/>
        </w:rPr>
        <w:t xml:space="preserve">на социалните партньори да разширят обхвата на тези договори с по-широки теми. </w:t>
      </w:r>
      <w:r w:rsidR="00D53A0A">
        <w:rPr>
          <w:rStyle w:val="jlqj4b"/>
          <w:rFonts w:eastAsiaTheme="majorEastAsia"/>
        </w:rPr>
        <w:t xml:space="preserve">.Не трябва да се пренебрегва и </w:t>
      </w:r>
      <w:r w:rsidR="00D53A0A">
        <w:rPr>
          <w:rStyle w:val="jlqj4b"/>
          <w:rFonts w:eastAsiaTheme="majorEastAsia"/>
        </w:rPr>
        <w:lastRenderedPageBreak/>
        <w:t>фактът,</w:t>
      </w:r>
      <w:r w:rsidRPr="00856424">
        <w:rPr>
          <w:rStyle w:val="jlqj4b"/>
          <w:rFonts w:eastAsiaTheme="majorEastAsia"/>
        </w:rPr>
        <w:t xml:space="preserve"> че много сектори, в които има процеси на </w:t>
      </w:r>
      <w:r w:rsidR="006D6E0D" w:rsidRPr="00856424">
        <w:rPr>
          <w:rStyle w:val="jlqj4b"/>
          <w:rFonts w:eastAsiaTheme="majorEastAsia"/>
        </w:rPr>
        <w:t>дигитална</w:t>
      </w:r>
      <w:r w:rsidRPr="00856424">
        <w:rPr>
          <w:rStyle w:val="jlqj4b"/>
          <w:rFonts w:eastAsiaTheme="majorEastAsia"/>
        </w:rPr>
        <w:t xml:space="preserve"> трансформация, изобщо не са обхванати от колективното договаряне.</w:t>
      </w:r>
    </w:p>
    <w:p w:rsidR="00FA2F22" w:rsidRDefault="00034A03" w:rsidP="00160C13">
      <w:pPr>
        <w:spacing w:line="360" w:lineRule="auto"/>
        <w:ind w:firstLine="720"/>
        <w:jc w:val="both"/>
        <w:rPr>
          <w:rStyle w:val="jlqj4b"/>
          <w:rFonts w:eastAsiaTheme="majorEastAsia"/>
        </w:rPr>
      </w:pPr>
      <w:r w:rsidRPr="00856424">
        <w:rPr>
          <w:rStyle w:val="jlqj4b"/>
          <w:rFonts w:eastAsiaTheme="majorEastAsia"/>
        </w:rPr>
        <w:t>Една от основните цели на този проект е да се обсъдят със социалните партньори на секторно ниво възможните действия, които могат да бъдат предприети чрез колективно договаряне.</w:t>
      </w:r>
    </w:p>
    <w:p w:rsidR="00160C13" w:rsidRPr="00856424" w:rsidRDefault="00160C13" w:rsidP="00160C13">
      <w:pPr>
        <w:spacing w:line="360" w:lineRule="auto"/>
        <w:ind w:firstLine="720"/>
        <w:jc w:val="both"/>
        <w:rPr>
          <w:rStyle w:val="jlqj4b"/>
          <w:rFonts w:eastAsiaTheme="majorEastAsia"/>
        </w:rPr>
      </w:pPr>
    </w:p>
    <w:p w:rsidR="00173521" w:rsidRPr="00856424" w:rsidRDefault="00034A03" w:rsidP="00B334C5">
      <w:pPr>
        <w:spacing w:line="360" w:lineRule="auto"/>
        <w:ind w:firstLine="720"/>
        <w:jc w:val="both"/>
        <w:rPr>
          <w:rStyle w:val="jlqj4b"/>
          <w:rFonts w:eastAsiaTheme="majorEastAsia"/>
          <w:i/>
        </w:rPr>
      </w:pPr>
      <w:r w:rsidRPr="00856424">
        <w:rPr>
          <w:rStyle w:val="jlqj4b"/>
          <w:rFonts w:eastAsiaTheme="majorEastAsia"/>
          <w:i/>
        </w:rPr>
        <w:t>Някои развития в областта на работата от разстояние в</w:t>
      </w:r>
      <w:r w:rsidR="00E56111" w:rsidRPr="00856424">
        <w:rPr>
          <w:rStyle w:val="jlqj4b"/>
          <w:rFonts w:eastAsiaTheme="majorEastAsia"/>
          <w:i/>
        </w:rPr>
        <w:t>ъв връзка с</w:t>
      </w:r>
      <w:r w:rsidRPr="00856424">
        <w:rPr>
          <w:rStyle w:val="jlqj4b"/>
          <w:rFonts w:eastAsiaTheme="majorEastAsia"/>
          <w:i/>
        </w:rPr>
        <w:t xml:space="preserve"> Ковид-19</w:t>
      </w:r>
    </w:p>
    <w:p w:rsidR="00FC5933" w:rsidRPr="00856424" w:rsidRDefault="00034A03" w:rsidP="00B334C5">
      <w:pPr>
        <w:spacing w:line="360" w:lineRule="auto"/>
        <w:ind w:firstLine="720"/>
        <w:jc w:val="both"/>
        <w:rPr>
          <w:rStyle w:val="jlqj4b"/>
          <w:rFonts w:eastAsiaTheme="majorEastAsia"/>
        </w:rPr>
      </w:pPr>
      <w:r w:rsidRPr="00856424">
        <w:rPr>
          <w:rStyle w:val="jlqj4b"/>
          <w:rFonts w:eastAsiaTheme="majorEastAsia"/>
        </w:rPr>
        <w:t xml:space="preserve">В резултат на </w:t>
      </w:r>
      <w:proofErr w:type="spellStart"/>
      <w:r w:rsidR="00E56111" w:rsidRPr="00856424">
        <w:rPr>
          <w:rStyle w:val="jlqj4b"/>
          <w:rFonts w:eastAsiaTheme="majorEastAsia"/>
        </w:rPr>
        <w:t>Ковид</w:t>
      </w:r>
      <w:proofErr w:type="spellEnd"/>
      <w:r w:rsidR="00E56111" w:rsidRPr="00856424">
        <w:rPr>
          <w:rStyle w:val="jlqj4b"/>
          <w:rFonts w:eastAsiaTheme="majorEastAsia"/>
        </w:rPr>
        <w:t xml:space="preserve"> </w:t>
      </w:r>
      <w:r w:rsidRPr="00856424">
        <w:rPr>
          <w:rStyle w:val="jlqj4b"/>
          <w:rFonts w:eastAsiaTheme="majorEastAsia"/>
        </w:rPr>
        <w:t>пандемията</w:t>
      </w:r>
      <w:r w:rsidR="00E56111" w:rsidRPr="00856424">
        <w:rPr>
          <w:rStyle w:val="jlqj4b"/>
          <w:rFonts w:eastAsiaTheme="majorEastAsia"/>
        </w:rPr>
        <w:t>,</w:t>
      </w:r>
      <w:r w:rsidRPr="00856424">
        <w:rPr>
          <w:rStyle w:val="jlqj4b"/>
          <w:rFonts w:eastAsiaTheme="majorEastAsia"/>
        </w:rPr>
        <w:t xml:space="preserve"> през 2020 г. използването на дистанционна работа в публичния сектор значително се увеличи, особено в системата на висшето и средното образование. Това доведе до реорганизация на работния процес и спомогна за запазване на заетостта и човешкото здраве. В частния сектор много от компаниите в България също трябваше да използват цифрови технологии за подобряване на организацията на работата, за да запазят заетостта в ситуация на </w:t>
      </w:r>
      <w:r w:rsidR="00E56111" w:rsidRPr="00856424">
        <w:rPr>
          <w:rStyle w:val="jlqj4b"/>
          <w:rFonts w:eastAsiaTheme="majorEastAsia"/>
        </w:rPr>
        <w:t>Ковид</w:t>
      </w:r>
      <w:r w:rsidRPr="00856424">
        <w:rPr>
          <w:rStyle w:val="jlqj4b"/>
          <w:rFonts w:eastAsiaTheme="majorEastAsia"/>
        </w:rPr>
        <w:t>-19. Кодексът на труда беше изменен непосредствено след обявяването на извънредно положение и в него бяха въведени нови текстове, чрез които работата от разстояние по време на обявено извънредно положение или извънредна епидемиологична ситуация стана задължителна форма на организация на трудовия процес.</w:t>
      </w:r>
    </w:p>
    <w:p w:rsidR="00601F1E" w:rsidRPr="00856424" w:rsidRDefault="00034A03" w:rsidP="00FA2F22">
      <w:pPr>
        <w:spacing w:line="360" w:lineRule="auto"/>
        <w:ind w:firstLine="360"/>
        <w:jc w:val="both"/>
        <w:rPr>
          <w:rStyle w:val="jlqj4b"/>
          <w:rFonts w:eastAsiaTheme="majorEastAsia"/>
        </w:rPr>
      </w:pPr>
      <w:r w:rsidRPr="00856424">
        <w:rPr>
          <w:rStyle w:val="jlqj4b"/>
          <w:rFonts w:eastAsiaTheme="majorEastAsia"/>
        </w:rPr>
        <w:t>Работата от разстояние създаде предизвикателства в домашната среда:</w:t>
      </w:r>
    </w:p>
    <w:p w:rsidR="00601F1E" w:rsidRPr="00856424" w:rsidRDefault="00034A03" w:rsidP="00B334C5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jlqj4b"/>
          <w:rFonts w:eastAsiaTheme="minorHAnsi"/>
          <w:b/>
          <w:lang w:eastAsia="en-US"/>
        </w:rPr>
      </w:pPr>
      <w:r w:rsidRPr="00856424">
        <w:rPr>
          <w:rStyle w:val="jlqj4b"/>
          <w:rFonts w:eastAsiaTheme="majorEastAsia"/>
        </w:rPr>
        <w:t>Компютрите/лаптопите, офис оборудването, консумативите и комуналните услуги, интернет връзката (често с ниска скорост) често са за сметка на служителя;</w:t>
      </w:r>
    </w:p>
    <w:p w:rsidR="00601F1E" w:rsidRPr="00856424" w:rsidRDefault="006B7BE9" w:rsidP="00B334C5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jlqj4b"/>
          <w:rFonts w:eastAsiaTheme="minorHAnsi"/>
          <w:b/>
          <w:lang w:eastAsia="en-US"/>
        </w:rPr>
      </w:pPr>
      <w:r w:rsidRPr="00856424">
        <w:rPr>
          <w:rStyle w:val="jlqj4b"/>
          <w:rFonts w:eastAsiaTheme="majorEastAsia"/>
        </w:rPr>
        <w:t>До</w:t>
      </w:r>
      <w:r w:rsidR="00034A03" w:rsidRPr="00856424">
        <w:rPr>
          <w:rStyle w:val="jlqj4b"/>
          <w:rFonts w:eastAsiaTheme="majorEastAsia"/>
        </w:rPr>
        <w:t>машната интернет връзка не може да поеме голямото натоварване, когато родителите и децата работят и учат вкъщи едновременно;</w:t>
      </w:r>
    </w:p>
    <w:p w:rsidR="00601F1E" w:rsidRPr="00856424" w:rsidRDefault="00034A03" w:rsidP="00B334C5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jlqj4b"/>
          <w:rFonts w:eastAsiaTheme="minorHAnsi"/>
          <w:b/>
          <w:lang w:eastAsia="en-US"/>
        </w:rPr>
      </w:pPr>
      <w:r w:rsidRPr="00856424">
        <w:rPr>
          <w:rStyle w:val="jlqj4b"/>
          <w:rFonts w:eastAsiaTheme="majorEastAsia"/>
        </w:rPr>
        <w:t xml:space="preserve">Често в дома няма обособено помещение като работно място, в което да се работи спокойно (децата са вкъщи - учениците учат дистанционно, детските градини не работят, </w:t>
      </w:r>
      <w:r w:rsidR="006B7BE9" w:rsidRPr="00856424">
        <w:rPr>
          <w:rStyle w:val="jlqj4b"/>
          <w:rFonts w:eastAsiaTheme="majorEastAsia"/>
        </w:rPr>
        <w:t xml:space="preserve">поради </w:t>
      </w:r>
      <w:proofErr w:type="spellStart"/>
      <w:r w:rsidR="006B7BE9" w:rsidRPr="00856424">
        <w:rPr>
          <w:rStyle w:val="jlqj4b"/>
          <w:rFonts w:eastAsiaTheme="majorEastAsia"/>
        </w:rPr>
        <w:t>Ковид</w:t>
      </w:r>
      <w:proofErr w:type="spellEnd"/>
      <w:r w:rsidR="006B7BE9" w:rsidRPr="00856424">
        <w:rPr>
          <w:rStyle w:val="jlqj4b"/>
          <w:rFonts w:eastAsiaTheme="majorEastAsia"/>
        </w:rPr>
        <w:t xml:space="preserve"> инфекция </w:t>
      </w:r>
      <w:r w:rsidRPr="00856424">
        <w:rPr>
          <w:rStyle w:val="jlqj4b"/>
          <w:rFonts w:eastAsiaTheme="majorEastAsia"/>
        </w:rPr>
        <w:t xml:space="preserve">родителите са принудени </w:t>
      </w:r>
      <w:r w:rsidR="006B7BE9" w:rsidRPr="00856424">
        <w:rPr>
          <w:rStyle w:val="jlqj4b"/>
          <w:rFonts w:eastAsiaTheme="majorEastAsia"/>
        </w:rPr>
        <w:t xml:space="preserve">да </w:t>
      </w:r>
      <w:r w:rsidRPr="00856424">
        <w:rPr>
          <w:rStyle w:val="jlqj4b"/>
          <w:rFonts w:eastAsiaTheme="majorEastAsia"/>
        </w:rPr>
        <w:t>работят дистанционно);</w:t>
      </w:r>
    </w:p>
    <w:p w:rsidR="00601F1E" w:rsidRPr="00856424" w:rsidRDefault="00034A03" w:rsidP="00B334C5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jlqj4b"/>
          <w:rFonts w:eastAsiaTheme="minorHAnsi"/>
          <w:b/>
          <w:lang w:eastAsia="en-US"/>
        </w:rPr>
      </w:pPr>
      <w:r w:rsidRPr="00856424">
        <w:rPr>
          <w:rStyle w:val="jlqj4b"/>
          <w:rFonts w:eastAsiaTheme="majorEastAsia"/>
        </w:rPr>
        <w:t>В някои администрации с ведомствена мрежова връзка/уеб-базирани системи не се разрешава достъп от външни компютри, например лични/домашни, и това прави дистанционната работа невъзможна;</w:t>
      </w:r>
    </w:p>
    <w:p w:rsidR="006653B7" w:rsidRPr="00856424" w:rsidRDefault="00034A03" w:rsidP="00B334C5">
      <w:pPr>
        <w:pStyle w:val="ListParagraph"/>
        <w:numPr>
          <w:ilvl w:val="0"/>
          <w:numId w:val="6"/>
        </w:numPr>
        <w:spacing w:line="360" w:lineRule="auto"/>
        <w:jc w:val="both"/>
        <w:rPr>
          <w:rStyle w:val="jlqj4b"/>
          <w:rFonts w:eastAsiaTheme="minorHAnsi"/>
          <w:b/>
          <w:lang w:eastAsia="en-US"/>
        </w:rPr>
      </w:pPr>
      <w:r w:rsidRPr="00856424">
        <w:rPr>
          <w:rStyle w:val="jlqj4b"/>
          <w:rFonts w:eastAsiaTheme="majorEastAsia"/>
        </w:rPr>
        <w:lastRenderedPageBreak/>
        <w:t>Служителите нямат достъп до служебната си поща поради горепосочените причини. В същото време може да има забрана за изпращане на официални документи по личната поща;</w:t>
      </w:r>
    </w:p>
    <w:p w:rsidR="00321F32" w:rsidRPr="00856424" w:rsidRDefault="00321F32" w:rsidP="00B334C5">
      <w:pPr>
        <w:pStyle w:val="ListParagraph"/>
        <w:spacing w:line="360" w:lineRule="auto"/>
        <w:jc w:val="both"/>
        <w:rPr>
          <w:rFonts w:eastAsiaTheme="minorHAnsi"/>
          <w:b/>
          <w:lang w:eastAsia="en-US"/>
        </w:rPr>
      </w:pPr>
    </w:p>
    <w:p w:rsidR="006653B7" w:rsidRDefault="008B1ED4" w:rsidP="00B334C5">
      <w:pPr>
        <w:pStyle w:val="ListParagraph"/>
        <w:numPr>
          <w:ilvl w:val="1"/>
          <w:numId w:val="4"/>
        </w:numPr>
        <w:spacing w:line="36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 w:rsidR="00034A03" w:rsidRPr="00D75D3C">
        <w:rPr>
          <w:rFonts w:eastAsiaTheme="minorHAnsi"/>
          <w:b/>
          <w:lang w:eastAsia="en-US"/>
        </w:rPr>
        <w:t>Примери за добри практики на социалните партньори</w:t>
      </w:r>
    </w:p>
    <w:p w:rsidR="008B1ED4" w:rsidRPr="00D75D3C" w:rsidRDefault="008B1ED4" w:rsidP="008B1ED4">
      <w:pPr>
        <w:pStyle w:val="ListParagraph"/>
        <w:spacing w:line="360" w:lineRule="auto"/>
        <w:ind w:left="1080"/>
        <w:jc w:val="both"/>
        <w:rPr>
          <w:rFonts w:eastAsiaTheme="minorHAnsi"/>
          <w:b/>
          <w:lang w:eastAsia="en-US"/>
        </w:rPr>
      </w:pPr>
      <w:bookmarkStart w:id="0" w:name="_GoBack"/>
      <w:bookmarkEnd w:id="0"/>
    </w:p>
    <w:p w:rsidR="00320C48" w:rsidRPr="00D75D3C" w:rsidRDefault="00811AE3" w:rsidP="00B334C5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  <w:b/>
          <w:i/>
          <w:lang w:eastAsia="en-US"/>
        </w:rPr>
      </w:pPr>
      <w:r w:rsidRPr="00D75D3C">
        <w:rPr>
          <w:rFonts w:eastAsiaTheme="minorHAnsi"/>
          <w:b/>
          <w:i/>
          <w:lang w:eastAsia="en-US"/>
        </w:rPr>
        <w:t>Българска търговско-промишлена палата (БТПП)</w:t>
      </w:r>
    </w:p>
    <w:p w:rsidR="00384A29" w:rsidRPr="00856424" w:rsidRDefault="00384A29" w:rsidP="00D75D3C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БТПП, заедно с още шест партньорски организации, участва в проекта CVETNET. Проектът има за цел да изгради капацитета на мрежите на доставчиците на CVET (продължаващо професионално образование и обучение) и на техните членове, за да адаптират по-добре своите организации и </w:t>
      </w:r>
      <w:proofErr w:type="spellStart"/>
      <w:r w:rsidRPr="00856424">
        <w:rPr>
          <w:rFonts w:eastAsiaTheme="minorHAnsi"/>
          <w:lang w:eastAsia="en-US"/>
        </w:rPr>
        <w:t>обучители</w:t>
      </w:r>
      <w:proofErr w:type="spellEnd"/>
      <w:r w:rsidRPr="00856424">
        <w:rPr>
          <w:rFonts w:eastAsiaTheme="minorHAnsi"/>
          <w:lang w:eastAsia="en-US"/>
        </w:rPr>
        <w:t xml:space="preserve"> в подкрепа на МСП за преквалификация и повишаване на квалификацията на техните мениджъри и служители по отношение на ученето между поколенията и адаптирането към </w:t>
      </w:r>
      <w:r w:rsidR="00DD47FD" w:rsidRPr="00856424">
        <w:rPr>
          <w:rFonts w:eastAsiaTheme="minorHAnsi"/>
          <w:lang w:eastAsia="en-US"/>
        </w:rPr>
        <w:t>дигиталната</w:t>
      </w:r>
      <w:r w:rsidRPr="00856424">
        <w:rPr>
          <w:rFonts w:eastAsiaTheme="minorHAnsi"/>
          <w:lang w:eastAsia="en-US"/>
        </w:rPr>
        <w:t xml:space="preserve"> трансформация. До 2021 г. БТПП участва в проекта "Подкрепа на капацитета за знания в областта на ИКТ сред МСП за участие в растежа и иновациите" (SKILLS+). Той имаше за цел да развие публичните политики, насърчаващи уменията в областта на информационните и комуникационните технологии (ИКТ) сред МСП в селските райони, като им помогне да се възползват пълноценно от възможностите, предлагани от цифровия единен пазар, и ползите от цифровата икономика. Като част от проекта "ДИГИТАЛНИ МСП</w:t>
      </w:r>
      <w:r w:rsidR="00D75D3C">
        <w:rPr>
          <w:rFonts w:eastAsiaTheme="minorHAnsi"/>
          <w:lang w:eastAsia="en-US"/>
        </w:rPr>
        <w:t xml:space="preserve"> </w:t>
      </w:r>
      <w:r w:rsidRPr="00856424">
        <w:rPr>
          <w:rFonts w:eastAsiaTheme="minorHAnsi"/>
          <w:lang w:eastAsia="en-US"/>
        </w:rPr>
        <w:t xml:space="preserve">- Насърчаване на приноса на МСП в прилагането на политиките за </w:t>
      </w:r>
      <w:proofErr w:type="spellStart"/>
      <w:r w:rsidRPr="00856424">
        <w:rPr>
          <w:rFonts w:eastAsiaTheme="minorHAnsi"/>
          <w:lang w:eastAsia="en-US"/>
        </w:rPr>
        <w:t>цифровизация</w:t>
      </w:r>
      <w:proofErr w:type="spellEnd"/>
      <w:r w:rsidRPr="00856424">
        <w:rPr>
          <w:rFonts w:eastAsiaTheme="minorHAnsi"/>
          <w:lang w:eastAsia="en-US"/>
        </w:rPr>
        <w:t xml:space="preserve"> на икономиката"</w:t>
      </w:r>
      <w:r w:rsidR="00D75D3C">
        <w:rPr>
          <w:rFonts w:eastAsiaTheme="minorHAnsi"/>
          <w:lang w:eastAsia="en-US"/>
        </w:rPr>
        <w:t>,</w:t>
      </w:r>
      <w:r w:rsidRPr="00856424">
        <w:rPr>
          <w:rFonts w:eastAsiaTheme="minorHAnsi"/>
          <w:lang w:eastAsia="en-US"/>
        </w:rPr>
        <w:t xml:space="preserve"> БТПП проведе национално проучване сред 550 работодатели. Основната част от анкетираните работодатели представляваха </w:t>
      </w:r>
      <w:proofErr w:type="spellStart"/>
      <w:r w:rsidRPr="00856424">
        <w:rPr>
          <w:rFonts w:eastAsiaTheme="minorHAnsi"/>
          <w:lang w:eastAsia="en-US"/>
        </w:rPr>
        <w:t>микро</w:t>
      </w:r>
      <w:proofErr w:type="spellEnd"/>
      <w:r w:rsidRPr="00856424">
        <w:rPr>
          <w:rFonts w:eastAsiaTheme="minorHAnsi"/>
          <w:lang w:eastAsia="en-US"/>
        </w:rPr>
        <w:t xml:space="preserve">, малки и средни предприятия, като по този начин бяха генерирани ценни за малките икономически субекти данни за процесите на </w:t>
      </w:r>
      <w:proofErr w:type="spellStart"/>
      <w:r w:rsidRPr="00856424">
        <w:rPr>
          <w:rFonts w:eastAsiaTheme="minorHAnsi"/>
          <w:lang w:eastAsia="en-US"/>
        </w:rPr>
        <w:t>цифровизация</w:t>
      </w:r>
      <w:proofErr w:type="spellEnd"/>
      <w:r w:rsidRPr="00856424">
        <w:rPr>
          <w:rFonts w:eastAsiaTheme="minorHAnsi"/>
          <w:lang w:eastAsia="en-US"/>
        </w:rPr>
        <w:t>.</w:t>
      </w:r>
    </w:p>
    <w:p w:rsidR="0078559C" w:rsidRPr="00856424" w:rsidRDefault="0078559C" w:rsidP="00B334C5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  <w:b/>
          <w:i/>
          <w:lang w:eastAsia="en-US"/>
        </w:rPr>
      </w:pPr>
      <w:r w:rsidRPr="00856424">
        <w:rPr>
          <w:rFonts w:eastAsiaTheme="minorHAnsi"/>
          <w:b/>
          <w:i/>
          <w:lang w:eastAsia="en-US"/>
        </w:rPr>
        <w:t>Българска стопанска камара (БСК)</w:t>
      </w:r>
    </w:p>
    <w:p w:rsidR="0078559C" w:rsidRPr="00856424" w:rsidRDefault="0078559C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Понастоящем </w:t>
      </w:r>
      <w:r w:rsidR="00DD47FD" w:rsidRPr="00856424">
        <w:rPr>
          <w:rFonts w:eastAsiaTheme="minorHAnsi"/>
          <w:lang w:eastAsia="en-US"/>
        </w:rPr>
        <w:t>БСК</w:t>
      </w:r>
      <w:r w:rsidRPr="00856424">
        <w:rPr>
          <w:rFonts w:eastAsiaTheme="minorHAnsi"/>
          <w:lang w:eastAsia="en-US"/>
        </w:rPr>
        <w:t xml:space="preserve"> участва в проекта "</w:t>
      </w:r>
      <w:proofErr w:type="spellStart"/>
      <w:r w:rsidRPr="00856424">
        <w:rPr>
          <w:rFonts w:eastAsiaTheme="minorHAnsi"/>
          <w:lang w:eastAsia="en-US"/>
        </w:rPr>
        <w:t>Upskilling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Lab</w:t>
      </w:r>
      <w:proofErr w:type="spellEnd"/>
      <w:r w:rsidRPr="00856424">
        <w:rPr>
          <w:rFonts w:eastAsiaTheme="minorHAnsi"/>
          <w:lang w:eastAsia="en-US"/>
        </w:rPr>
        <w:t xml:space="preserve"> 4.0", </w:t>
      </w:r>
      <w:proofErr w:type="spellStart"/>
      <w:r w:rsidRPr="00856424">
        <w:rPr>
          <w:rFonts w:eastAsiaTheme="minorHAnsi"/>
          <w:lang w:eastAsia="en-US"/>
        </w:rPr>
        <w:t>съфинансиран</w:t>
      </w:r>
      <w:proofErr w:type="spellEnd"/>
      <w:r w:rsidRPr="00856424">
        <w:rPr>
          <w:rFonts w:eastAsiaTheme="minorHAnsi"/>
          <w:lang w:eastAsia="en-US"/>
        </w:rPr>
        <w:t xml:space="preserve"> от програмата "</w:t>
      </w:r>
      <w:proofErr w:type="spellStart"/>
      <w:r w:rsidRPr="00856424">
        <w:rPr>
          <w:rFonts w:eastAsiaTheme="minorHAnsi"/>
          <w:lang w:eastAsia="en-US"/>
        </w:rPr>
        <w:t>Еразъм+</w:t>
      </w:r>
      <w:proofErr w:type="spellEnd"/>
      <w:r w:rsidRPr="00856424">
        <w:rPr>
          <w:rFonts w:eastAsiaTheme="minorHAnsi"/>
          <w:lang w:eastAsia="en-US"/>
        </w:rPr>
        <w:t xml:space="preserve">" на Европейския съюз. Чрез международно сътрудничество проектът има за цел да предостави възможности за повишаване на квалификацията на персонала на компаниите (мениджъри и служители), за да могат съвременните технологии и иновационни практики (свързани с Индустрия 4.0) да бъдат успешно интегрирани в българските предприятия. Ще бъдат разработени подробни указания стъпка по стъпка и </w:t>
      </w:r>
      <w:r w:rsidRPr="00856424">
        <w:rPr>
          <w:rFonts w:eastAsiaTheme="minorHAnsi"/>
          <w:lang w:eastAsia="en-US"/>
        </w:rPr>
        <w:lastRenderedPageBreak/>
        <w:t>моделът за повишаване на квалификацията 4.0</w:t>
      </w:r>
      <w:r w:rsidR="001304DF" w:rsidRPr="00856424">
        <w:rPr>
          <w:rFonts w:eastAsiaTheme="minorHAnsi"/>
          <w:lang w:eastAsia="en-US"/>
        </w:rPr>
        <w:t xml:space="preserve"> (</w:t>
      </w:r>
      <w:proofErr w:type="spellStart"/>
      <w:r w:rsidR="001304DF" w:rsidRPr="00856424">
        <w:rPr>
          <w:rFonts w:eastAsiaTheme="minorHAnsi"/>
          <w:lang w:eastAsia="en-US"/>
        </w:rPr>
        <w:t>Upskilling</w:t>
      </w:r>
      <w:proofErr w:type="spellEnd"/>
      <w:r w:rsidR="001304DF" w:rsidRPr="00856424">
        <w:rPr>
          <w:rFonts w:eastAsiaTheme="minorHAnsi"/>
          <w:lang w:eastAsia="en-US"/>
        </w:rPr>
        <w:t xml:space="preserve"> </w:t>
      </w:r>
      <w:proofErr w:type="spellStart"/>
      <w:r w:rsidR="001304DF" w:rsidRPr="00856424">
        <w:rPr>
          <w:rFonts w:eastAsiaTheme="minorHAnsi"/>
          <w:lang w:eastAsia="en-US"/>
        </w:rPr>
        <w:t>lab</w:t>
      </w:r>
      <w:proofErr w:type="spellEnd"/>
      <w:r w:rsidR="001304DF" w:rsidRPr="00856424">
        <w:rPr>
          <w:rFonts w:eastAsiaTheme="minorHAnsi"/>
          <w:lang w:eastAsia="en-US"/>
        </w:rPr>
        <w:t xml:space="preserve"> 4.0 </w:t>
      </w:r>
      <w:proofErr w:type="spellStart"/>
      <w:r w:rsidR="001304DF" w:rsidRPr="00856424">
        <w:rPr>
          <w:rFonts w:eastAsiaTheme="minorHAnsi"/>
          <w:lang w:eastAsia="en-US"/>
        </w:rPr>
        <w:t>model</w:t>
      </w:r>
      <w:proofErr w:type="spellEnd"/>
      <w:r w:rsidR="001304DF" w:rsidRPr="00856424">
        <w:rPr>
          <w:rFonts w:eastAsiaTheme="minorHAnsi"/>
          <w:lang w:eastAsia="en-US"/>
        </w:rPr>
        <w:t>)</w:t>
      </w:r>
      <w:r w:rsidRPr="00856424">
        <w:rPr>
          <w:rFonts w:eastAsiaTheme="minorHAnsi"/>
          <w:lang w:eastAsia="en-US"/>
        </w:rPr>
        <w:t xml:space="preserve"> ще бъде представен на националните организации и предприятия, заинтересовани от </w:t>
      </w:r>
      <w:r w:rsidR="001304DF" w:rsidRPr="00856424">
        <w:rPr>
          <w:rFonts w:eastAsiaTheme="minorHAnsi"/>
          <w:lang w:eastAsia="en-US"/>
        </w:rPr>
        <w:t>дигиталната</w:t>
      </w:r>
      <w:r w:rsidRPr="00856424">
        <w:rPr>
          <w:rFonts w:eastAsiaTheme="minorHAnsi"/>
          <w:lang w:eastAsia="en-US"/>
        </w:rPr>
        <w:t xml:space="preserve"> трансформация. През 2018 г. БСК и Фондация "Фридрих </w:t>
      </w:r>
      <w:proofErr w:type="spellStart"/>
      <w:r w:rsidRPr="00856424">
        <w:rPr>
          <w:rFonts w:eastAsiaTheme="minorHAnsi"/>
          <w:lang w:eastAsia="en-US"/>
        </w:rPr>
        <w:t>Еберт</w:t>
      </w:r>
      <w:proofErr w:type="spellEnd"/>
      <w:r w:rsidRPr="00856424">
        <w:rPr>
          <w:rFonts w:eastAsiaTheme="minorHAnsi"/>
          <w:lang w:eastAsia="en-US"/>
        </w:rPr>
        <w:t>" - България участваха в проекта "Индустрия 4.0</w:t>
      </w:r>
      <w:r w:rsidR="006119AC" w:rsidRPr="00856424">
        <w:rPr>
          <w:rFonts w:eastAsiaTheme="minorHAnsi"/>
          <w:lang w:eastAsia="en-US"/>
        </w:rPr>
        <w:t xml:space="preserve"> </w:t>
      </w:r>
      <w:r w:rsidRPr="00856424">
        <w:rPr>
          <w:rFonts w:eastAsiaTheme="minorHAnsi"/>
          <w:lang w:eastAsia="en-US"/>
        </w:rPr>
        <w:t xml:space="preserve">- предизвикателства и въздействие върху икономическото и социалното развитие на България". На Министерството на икономиката беше представен списък с предложения относно Индустрия 4.0.  </w:t>
      </w:r>
    </w:p>
    <w:p w:rsidR="00320C48" w:rsidRPr="00856424" w:rsidRDefault="006119AC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В рамките на проект изпълняван от БСК, беше създадена Националната система за оценка на компетенциите "</w:t>
      </w:r>
      <w:proofErr w:type="spellStart"/>
      <w:r w:rsidRPr="00856424">
        <w:rPr>
          <w:rFonts w:eastAsiaTheme="minorHAnsi"/>
          <w:lang w:eastAsia="en-US"/>
        </w:rPr>
        <w:t>MyCompetence</w:t>
      </w:r>
      <w:proofErr w:type="spellEnd"/>
      <w:r w:rsidRPr="00856424">
        <w:rPr>
          <w:rFonts w:eastAsiaTheme="minorHAnsi"/>
          <w:lang w:eastAsia="en-US"/>
        </w:rPr>
        <w:t>"</w:t>
      </w:r>
      <w:r w:rsidR="0078559C" w:rsidRPr="00856424">
        <w:rPr>
          <w:rFonts w:eastAsiaTheme="minorHAnsi"/>
          <w:lang w:eastAsia="en-US"/>
        </w:rPr>
        <w:t>. Системата "</w:t>
      </w:r>
      <w:proofErr w:type="spellStart"/>
      <w:r w:rsidR="0078559C" w:rsidRPr="00856424">
        <w:rPr>
          <w:rFonts w:eastAsiaTheme="minorHAnsi"/>
          <w:lang w:eastAsia="en-US"/>
        </w:rPr>
        <w:t>MyCompetence</w:t>
      </w:r>
      <w:proofErr w:type="spellEnd"/>
      <w:r w:rsidR="0078559C" w:rsidRPr="00856424">
        <w:rPr>
          <w:rFonts w:eastAsiaTheme="minorHAnsi"/>
          <w:lang w:eastAsia="en-US"/>
        </w:rPr>
        <w:t xml:space="preserve">" е онлайн платформа в областта на управлението и развитието на човешките ресурси. Тя предлага </w:t>
      </w:r>
      <w:proofErr w:type="spellStart"/>
      <w:r w:rsidR="0078559C" w:rsidRPr="00856424">
        <w:rPr>
          <w:rFonts w:eastAsiaTheme="minorHAnsi"/>
          <w:lang w:eastAsia="en-US"/>
        </w:rPr>
        <w:t>компетентностни</w:t>
      </w:r>
      <w:proofErr w:type="spellEnd"/>
      <w:r w:rsidR="0078559C" w:rsidRPr="00856424">
        <w:rPr>
          <w:rFonts w:eastAsiaTheme="minorHAnsi"/>
          <w:lang w:eastAsia="en-US"/>
        </w:rPr>
        <w:t xml:space="preserve"> профили и длъжностни характеристики за ключови длъжности, списъци с компетенции, инструменти за оценка, ресурси за електронно обучение и други услуги за оценка и развитие на компетенциите на работната сила. </w:t>
      </w:r>
    </w:p>
    <w:p w:rsidR="004421D5" w:rsidRPr="00856424" w:rsidRDefault="004421D5" w:rsidP="00B334C5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  <w:b/>
          <w:i/>
          <w:lang w:eastAsia="en-US"/>
        </w:rPr>
      </w:pPr>
      <w:r w:rsidRPr="00856424">
        <w:rPr>
          <w:rFonts w:eastAsiaTheme="minorHAnsi"/>
          <w:b/>
          <w:i/>
          <w:lang w:eastAsia="en-US"/>
        </w:rPr>
        <w:t>Асоциация на индустриалния капитал в България (АИКБ)</w:t>
      </w:r>
    </w:p>
    <w:p w:rsidR="004421D5" w:rsidRPr="00856424" w:rsidRDefault="004421D5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През юли 2021 г. Софийският университет започна изп</w:t>
      </w:r>
      <w:r w:rsidR="00E9035B" w:rsidRPr="00856424">
        <w:rPr>
          <w:rFonts w:eastAsiaTheme="minorHAnsi"/>
          <w:lang w:eastAsia="en-US"/>
        </w:rPr>
        <w:t xml:space="preserve">ълнението на проекта „МОДЕРН-A: МОДЕРНИЗАЦИЯ </w:t>
      </w:r>
      <w:r w:rsidRPr="00856424">
        <w:rPr>
          <w:rFonts w:eastAsiaTheme="minorHAnsi"/>
          <w:lang w:eastAsia="en-US"/>
        </w:rPr>
        <w:t xml:space="preserve">в партньорство чрез дигитализация на академичната екосистема". Той се реализира в партньорство с още осем университета в България, три национални работодателски организации (БСК, БТПП, </w:t>
      </w:r>
      <w:r w:rsidR="00E9035B" w:rsidRPr="00856424">
        <w:rPr>
          <w:rFonts w:eastAsiaTheme="minorHAnsi"/>
          <w:lang w:eastAsia="en-US"/>
        </w:rPr>
        <w:t>АИКБ</w:t>
      </w:r>
      <w:r w:rsidRPr="00856424">
        <w:rPr>
          <w:rFonts w:eastAsiaTheme="minorHAnsi"/>
          <w:lang w:eastAsia="en-US"/>
        </w:rPr>
        <w:t>) и над 20 асоциирани партньори от чужбина. Една от основните цели на проекта е реализирането на програми с дигитално съдържание, насърчаване на дистанционното обучение и развитието на електронните</w:t>
      </w:r>
      <w:r w:rsidR="00D75D3C">
        <w:rPr>
          <w:rFonts w:eastAsiaTheme="minorHAnsi"/>
          <w:lang w:eastAsia="en-US"/>
        </w:rPr>
        <w:t xml:space="preserve"> технологии и</w:t>
      </w:r>
      <w:r w:rsidRPr="00856424">
        <w:rPr>
          <w:rFonts w:eastAsiaTheme="minorHAnsi"/>
          <w:lang w:eastAsia="en-US"/>
        </w:rPr>
        <w:t xml:space="preserve"> технологии</w:t>
      </w:r>
      <w:r w:rsidR="009E0889" w:rsidRPr="00856424">
        <w:rPr>
          <w:rFonts w:eastAsiaTheme="minorHAnsi"/>
          <w:lang w:eastAsia="en-US"/>
        </w:rPr>
        <w:t xml:space="preserve">те в облак, </w:t>
      </w:r>
      <w:r w:rsidRPr="00856424">
        <w:rPr>
          <w:rFonts w:eastAsiaTheme="minorHAnsi"/>
          <w:lang w:eastAsia="en-US"/>
        </w:rPr>
        <w:t>в рамките на учебния процес. Дейностите по проекта предвиждат обучение на учители, специализации в чуждестранни университети, мобилност на учени и студенти. Ще бъдат създадени студентски клубове за развитие на предприемачески умения, презентационни умения и дигитална креативност в рамките на Софийския университет и още два университета-партньори.</w:t>
      </w:r>
    </w:p>
    <w:p w:rsidR="004421D5" w:rsidRPr="00856424" w:rsidRDefault="004421D5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През 2019 г. </w:t>
      </w:r>
      <w:r w:rsidR="009E0889" w:rsidRPr="00856424">
        <w:rPr>
          <w:rFonts w:eastAsiaTheme="minorHAnsi"/>
          <w:lang w:eastAsia="en-US"/>
        </w:rPr>
        <w:t>АИКБ</w:t>
      </w:r>
      <w:r w:rsidRPr="00856424">
        <w:rPr>
          <w:rFonts w:eastAsiaTheme="minorHAnsi"/>
          <w:lang w:eastAsia="en-US"/>
        </w:rPr>
        <w:t xml:space="preserve"> и Организацията на ООН за </w:t>
      </w:r>
      <w:r w:rsidR="009E0889" w:rsidRPr="00856424">
        <w:rPr>
          <w:rFonts w:eastAsiaTheme="minorHAnsi"/>
          <w:lang w:eastAsia="en-US"/>
        </w:rPr>
        <w:t>индустриално</w:t>
      </w:r>
      <w:r w:rsidRPr="00856424">
        <w:rPr>
          <w:rFonts w:eastAsiaTheme="minorHAnsi"/>
          <w:lang w:eastAsia="en-US"/>
        </w:rPr>
        <w:t xml:space="preserve"> развитие (UNIDO) подновиха споразумението си за сътрудничество от 2016 г. и разшириха неговото приложение. Подписаният Меморандум за партньорство дава право на двете организации да разработват проекти и политики, повишаващи конкурентоспособността на МСП, както за справяне с ключови глобални предизвикателства като </w:t>
      </w:r>
      <w:r w:rsidR="009E0889" w:rsidRPr="00856424">
        <w:rPr>
          <w:rFonts w:eastAsiaTheme="minorHAnsi"/>
          <w:lang w:eastAsia="en-US"/>
        </w:rPr>
        <w:t>дигитализацията</w:t>
      </w:r>
      <w:r w:rsidRPr="00856424">
        <w:rPr>
          <w:rFonts w:eastAsiaTheme="minorHAnsi"/>
          <w:lang w:eastAsia="en-US"/>
        </w:rPr>
        <w:t xml:space="preserve"> и </w:t>
      </w:r>
      <w:proofErr w:type="spellStart"/>
      <w:r w:rsidRPr="00856424">
        <w:rPr>
          <w:rFonts w:eastAsiaTheme="minorHAnsi"/>
          <w:lang w:eastAsia="en-US"/>
        </w:rPr>
        <w:t>киберсигурността</w:t>
      </w:r>
      <w:proofErr w:type="spellEnd"/>
      <w:r w:rsidRPr="00856424">
        <w:rPr>
          <w:rFonts w:eastAsiaTheme="minorHAnsi"/>
          <w:lang w:eastAsia="en-US"/>
        </w:rPr>
        <w:t>, така и за балансиране на знанията и уменията на бъдещата работна сила.</w:t>
      </w:r>
    </w:p>
    <w:p w:rsidR="004421D5" w:rsidRPr="00856424" w:rsidRDefault="004421D5" w:rsidP="00B334C5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  <w:b/>
          <w:i/>
          <w:lang w:eastAsia="en-US"/>
        </w:rPr>
      </w:pPr>
      <w:r w:rsidRPr="00856424">
        <w:rPr>
          <w:rFonts w:eastAsiaTheme="minorHAnsi"/>
          <w:b/>
          <w:i/>
          <w:lang w:eastAsia="en-US"/>
        </w:rPr>
        <w:lastRenderedPageBreak/>
        <w:t>Конфедерация на работодателите и индустриалците в България (КРИБ)</w:t>
      </w:r>
    </w:p>
    <w:p w:rsidR="004421D5" w:rsidRPr="00856424" w:rsidRDefault="009E0889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КРИБ</w:t>
      </w:r>
      <w:r w:rsidR="004421D5" w:rsidRPr="00856424">
        <w:rPr>
          <w:rFonts w:eastAsiaTheme="minorHAnsi"/>
          <w:lang w:eastAsia="en-US"/>
        </w:rPr>
        <w:t xml:space="preserve"> участва активно в национални форуми, посветени на цифровата трансформация на ико</w:t>
      </w:r>
      <w:r w:rsidR="00561D3F" w:rsidRPr="00856424">
        <w:rPr>
          <w:rFonts w:eastAsiaTheme="minorHAnsi"/>
          <w:lang w:eastAsia="en-US"/>
        </w:rPr>
        <w:t>номиката. През 2017 г. КР</w:t>
      </w:r>
      <w:r w:rsidR="004421D5" w:rsidRPr="00856424">
        <w:rPr>
          <w:rFonts w:eastAsiaTheme="minorHAnsi"/>
          <w:lang w:eastAsia="en-US"/>
        </w:rPr>
        <w:t>ИБ</w:t>
      </w:r>
      <w:r w:rsidR="00561D3F" w:rsidRPr="00856424">
        <w:rPr>
          <w:rFonts w:eastAsiaTheme="minorHAnsi"/>
          <w:lang w:eastAsia="en-US"/>
        </w:rPr>
        <w:t>,</w:t>
      </w:r>
      <w:r w:rsidR="004421D5" w:rsidRPr="00856424">
        <w:rPr>
          <w:rFonts w:eastAsiaTheme="minorHAnsi"/>
          <w:lang w:eastAsia="en-US"/>
        </w:rPr>
        <w:t xml:space="preserve"> заедно с големи технологични компании</w:t>
      </w:r>
      <w:r w:rsidR="00561D3F" w:rsidRPr="00856424">
        <w:rPr>
          <w:rFonts w:eastAsiaTheme="minorHAnsi"/>
          <w:lang w:eastAsia="en-US"/>
        </w:rPr>
        <w:t>,</w:t>
      </w:r>
      <w:r w:rsidR="004421D5" w:rsidRPr="00856424">
        <w:rPr>
          <w:rFonts w:eastAsiaTheme="minorHAnsi"/>
          <w:lang w:eastAsia="en-US"/>
        </w:rPr>
        <w:t xml:space="preserve"> </w:t>
      </w:r>
      <w:r w:rsidR="00561D3F" w:rsidRPr="00856424">
        <w:rPr>
          <w:rFonts w:eastAsiaTheme="minorHAnsi"/>
          <w:lang w:eastAsia="en-US"/>
        </w:rPr>
        <w:t xml:space="preserve">организира </w:t>
      </w:r>
      <w:r w:rsidR="004421D5" w:rsidRPr="00856424">
        <w:rPr>
          <w:rFonts w:eastAsiaTheme="minorHAnsi"/>
          <w:lang w:eastAsia="en-US"/>
        </w:rPr>
        <w:t>първата национална среща на върха за облачни технологии, на която бяха обсъдени споразумения за стратегичес</w:t>
      </w:r>
      <w:r w:rsidR="00561D3F" w:rsidRPr="00856424">
        <w:rPr>
          <w:rFonts w:eastAsiaTheme="minorHAnsi"/>
          <w:lang w:eastAsia="en-US"/>
        </w:rPr>
        <w:t>ко партньорство. През 2021 г. КР</w:t>
      </w:r>
      <w:r w:rsidR="004421D5" w:rsidRPr="00856424">
        <w:rPr>
          <w:rFonts w:eastAsiaTheme="minorHAnsi"/>
          <w:lang w:eastAsia="en-US"/>
        </w:rPr>
        <w:t>ИБ представи своите виждания по време на конференция на високо равнище "Зелената сделка и</w:t>
      </w:r>
      <w:r w:rsidR="00561D3F" w:rsidRPr="00856424">
        <w:rPr>
          <w:rFonts w:eastAsiaTheme="minorHAnsi"/>
          <w:lang w:eastAsia="en-US"/>
        </w:rPr>
        <w:t xml:space="preserve"> дигиталната</w:t>
      </w:r>
      <w:r w:rsidR="004421D5" w:rsidRPr="00856424">
        <w:rPr>
          <w:rFonts w:eastAsiaTheme="minorHAnsi"/>
          <w:lang w:eastAsia="en-US"/>
        </w:rPr>
        <w:t xml:space="preserve"> трансформация</w:t>
      </w:r>
      <w:r w:rsidR="00561D3F" w:rsidRPr="00856424">
        <w:rPr>
          <w:rFonts w:eastAsiaTheme="minorHAnsi"/>
          <w:lang w:eastAsia="en-US"/>
        </w:rPr>
        <w:t xml:space="preserve"> </w:t>
      </w:r>
      <w:r w:rsidR="004421D5" w:rsidRPr="00856424">
        <w:rPr>
          <w:rFonts w:eastAsiaTheme="minorHAnsi"/>
          <w:lang w:eastAsia="en-US"/>
        </w:rPr>
        <w:t>- възмо</w:t>
      </w:r>
      <w:r w:rsidR="00561D3F" w:rsidRPr="00856424">
        <w:rPr>
          <w:rFonts w:eastAsiaTheme="minorHAnsi"/>
          <w:lang w:eastAsia="en-US"/>
        </w:rPr>
        <w:t>жности за конкурентоспособност</w:t>
      </w:r>
      <w:r w:rsidR="004421D5" w:rsidRPr="00856424">
        <w:rPr>
          <w:rFonts w:eastAsiaTheme="minorHAnsi"/>
          <w:lang w:eastAsia="en-US"/>
        </w:rPr>
        <w:t xml:space="preserve"> на българската икономика", организирана от заместник-председателя на политическата група "Обнови Европа" в Европейския парламент. В рамките на годишните награди "Мистър и </w:t>
      </w:r>
      <w:proofErr w:type="spellStart"/>
      <w:r w:rsidR="004421D5" w:rsidRPr="00856424">
        <w:rPr>
          <w:rFonts w:eastAsiaTheme="minorHAnsi"/>
          <w:lang w:eastAsia="en-US"/>
        </w:rPr>
        <w:t>Мисис</w:t>
      </w:r>
      <w:proofErr w:type="spellEnd"/>
      <w:r w:rsidR="004421D5" w:rsidRPr="00856424">
        <w:rPr>
          <w:rFonts w:eastAsiaTheme="minorHAnsi"/>
          <w:lang w:eastAsia="en-US"/>
        </w:rPr>
        <w:t xml:space="preserve"> Икономика" </w:t>
      </w:r>
      <w:r w:rsidR="00561D3F" w:rsidRPr="00856424">
        <w:rPr>
          <w:rFonts w:eastAsiaTheme="minorHAnsi"/>
          <w:lang w:eastAsia="en-US"/>
        </w:rPr>
        <w:t>КРИБ</w:t>
      </w:r>
      <w:r w:rsidR="004421D5" w:rsidRPr="00856424">
        <w:rPr>
          <w:rFonts w:eastAsiaTheme="minorHAnsi"/>
          <w:lang w:eastAsia="en-US"/>
        </w:rPr>
        <w:t xml:space="preserve"> </w:t>
      </w:r>
      <w:r w:rsidR="00561D3F" w:rsidRPr="00856424">
        <w:rPr>
          <w:rFonts w:eastAsiaTheme="minorHAnsi"/>
          <w:lang w:eastAsia="en-US"/>
        </w:rPr>
        <w:t>дава и награда за</w:t>
      </w:r>
      <w:r w:rsidR="004421D5" w:rsidRPr="00856424">
        <w:rPr>
          <w:rFonts w:eastAsiaTheme="minorHAnsi"/>
          <w:lang w:eastAsia="en-US"/>
        </w:rPr>
        <w:t xml:space="preserve"> индивидуален принос за развитието на ИКТ.</w:t>
      </w:r>
    </w:p>
    <w:p w:rsidR="0064033E" w:rsidRPr="00856424" w:rsidRDefault="0064033E" w:rsidP="00B334C5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  <w:b/>
          <w:i/>
          <w:lang w:eastAsia="en-US"/>
        </w:rPr>
      </w:pPr>
      <w:r w:rsidRPr="00856424">
        <w:rPr>
          <w:rFonts w:eastAsiaTheme="minorHAnsi"/>
          <w:b/>
          <w:i/>
          <w:lang w:eastAsia="en-US"/>
        </w:rPr>
        <w:t>Конфедерация на независимите синдикати в България (КНСБ)</w:t>
      </w:r>
    </w:p>
    <w:p w:rsidR="0064033E" w:rsidRPr="00856424" w:rsidRDefault="0064033E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През 2021 г. </w:t>
      </w:r>
      <w:r w:rsidR="009D15B3">
        <w:rPr>
          <w:rFonts w:eastAsiaTheme="minorHAnsi"/>
          <w:lang w:eastAsia="en-US"/>
        </w:rPr>
        <w:t xml:space="preserve"> КНСБ </w:t>
      </w:r>
      <w:r w:rsidRPr="00856424">
        <w:rPr>
          <w:rFonts w:eastAsiaTheme="minorHAnsi"/>
          <w:lang w:eastAsia="en-US"/>
        </w:rPr>
        <w:t>стартира проект, посветен на разработването на единни цифрови профили, в рамките на който ще бъде изготвен подробен списък с компетенции и умения. Проектът обхваща 17 икономически сектора и предвижда обучение на служителите за развитие н</w:t>
      </w:r>
      <w:r w:rsidR="00D75D3C">
        <w:rPr>
          <w:rFonts w:eastAsiaTheme="minorHAnsi"/>
          <w:lang w:eastAsia="en-US"/>
        </w:rPr>
        <w:t>а цифрови</w:t>
      </w:r>
      <w:r w:rsidRPr="00856424">
        <w:rPr>
          <w:rFonts w:eastAsiaTheme="minorHAnsi"/>
          <w:lang w:eastAsia="en-US"/>
        </w:rPr>
        <w:t xml:space="preserve"> компетентности. Проектът се реализира в партньорство с БСК, </w:t>
      </w:r>
      <w:r w:rsidR="00B62BE1" w:rsidRPr="00856424">
        <w:rPr>
          <w:rFonts w:eastAsiaTheme="minorHAnsi"/>
          <w:lang w:eastAsia="en-US"/>
        </w:rPr>
        <w:t>АИКБ</w:t>
      </w:r>
      <w:r w:rsidRPr="00856424">
        <w:rPr>
          <w:rFonts w:eastAsiaTheme="minorHAnsi"/>
          <w:lang w:eastAsia="en-US"/>
        </w:rPr>
        <w:t xml:space="preserve">, БТПП и Министерството на труда и социалната политика. </w:t>
      </w:r>
    </w:p>
    <w:p w:rsidR="0064033E" w:rsidRPr="00856424" w:rsidRDefault="0064033E" w:rsidP="00B334C5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  <w:b/>
          <w:i/>
          <w:lang w:eastAsia="en-US"/>
        </w:rPr>
      </w:pPr>
      <w:r w:rsidRPr="00856424">
        <w:rPr>
          <w:rFonts w:eastAsiaTheme="minorHAnsi"/>
          <w:b/>
          <w:i/>
          <w:lang w:eastAsia="en-US"/>
        </w:rPr>
        <w:t>Конфедерация на труда „Подкрепа“ (КТ „Подкрепа“)</w:t>
      </w:r>
    </w:p>
    <w:p w:rsidR="00320C48" w:rsidRPr="00856424" w:rsidRDefault="00B62BE1" w:rsidP="00B334C5">
      <w:pPr>
        <w:spacing w:line="360" w:lineRule="auto"/>
        <w:ind w:firstLine="360"/>
        <w:jc w:val="both"/>
        <w:rPr>
          <w:rFonts w:eastAsiaTheme="minorHAnsi"/>
          <w:i/>
          <w:lang w:eastAsia="en-US"/>
        </w:rPr>
      </w:pPr>
      <w:r w:rsidRPr="00856424">
        <w:rPr>
          <w:rFonts w:eastAsiaTheme="minorHAnsi"/>
          <w:lang w:eastAsia="en-US"/>
        </w:rPr>
        <w:t>Секторните структури на КТ</w:t>
      </w:r>
      <w:r w:rsidR="0064033E" w:rsidRPr="00856424">
        <w:rPr>
          <w:rFonts w:eastAsiaTheme="minorHAnsi"/>
          <w:lang w:eastAsia="en-US"/>
        </w:rPr>
        <w:t xml:space="preserve"> "Подкрепа" активно анализират навлизането на цифровите технологии в секторите и обръщат специално внимание на развитието на </w:t>
      </w:r>
      <w:r w:rsidRPr="00856424">
        <w:rPr>
          <w:rFonts w:eastAsiaTheme="minorHAnsi"/>
          <w:lang w:eastAsia="en-US"/>
        </w:rPr>
        <w:t>дигитални</w:t>
      </w:r>
      <w:r w:rsidR="0064033E" w:rsidRPr="00856424">
        <w:rPr>
          <w:rFonts w:eastAsiaTheme="minorHAnsi"/>
          <w:lang w:eastAsia="en-US"/>
        </w:rPr>
        <w:t xml:space="preserve"> умения чрез колективно договорени инициативи.</w:t>
      </w:r>
    </w:p>
    <w:p w:rsidR="00320C48" w:rsidRPr="00856424" w:rsidRDefault="0064033E" w:rsidP="00B334C5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inorHAnsi"/>
          <w:b/>
          <w:i/>
          <w:lang w:eastAsia="en-US"/>
        </w:rPr>
      </w:pPr>
      <w:r w:rsidRPr="00856424">
        <w:rPr>
          <w:rFonts w:eastAsiaTheme="minorHAnsi"/>
          <w:b/>
          <w:i/>
          <w:lang w:eastAsia="en-US"/>
        </w:rPr>
        <w:t>Съюз за стопанска инициатива (ССИ)</w:t>
      </w:r>
    </w:p>
    <w:p w:rsidR="00320C48" w:rsidRPr="00856424" w:rsidRDefault="00B62BE1" w:rsidP="00B334C5">
      <w:pPr>
        <w:spacing w:line="360" w:lineRule="auto"/>
        <w:ind w:firstLine="360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>ССИ</w:t>
      </w:r>
      <w:r w:rsidR="0064033E" w:rsidRPr="00856424">
        <w:rPr>
          <w:rFonts w:eastAsiaTheme="minorHAnsi"/>
          <w:lang w:eastAsia="en-US"/>
        </w:rPr>
        <w:t xml:space="preserve"> обръща специално внимание на въпроса за </w:t>
      </w:r>
      <w:proofErr w:type="spellStart"/>
      <w:r w:rsidR="0064033E" w:rsidRPr="00856424">
        <w:rPr>
          <w:rFonts w:eastAsiaTheme="minorHAnsi"/>
          <w:lang w:eastAsia="en-US"/>
        </w:rPr>
        <w:t>киберсигурността</w:t>
      </w:r>
      <w:proofErr w:type="spellEnd"/>
      <w:r w:rsidR="0064033E" w:rsidRPr="00856424">
        <w:rPr>
          <w:rFonts w:eastAsiaTheme="minorHAnsi"/>
          <w:lang w:eastAsia="en-US"/>
        </w:rPr>
        <w:t xml:space="preserve">, а от юни 2021 г. представител на </w:t>
      </w:r>
      <w:r w:rsidRPr="00856424">
        <w:rPr>
          <w:rFonts w:eastAsiaTheme="minorHAnsi"/>
          <w:lang w:eastAsia="en-US"/>
        </w:rPr>
        <w:t>ССИ</w:t>
      </w:r>
      <w:r w:rsidR="0064033E" w:rsidRPr="00856424">
        <w:rPr>
          <w:rFonts w:eastAsiaTheme="minorHAnsi"/>
          <w:lang w:eastAsia="en-US"/>
        </w:rPr>
        <w:t xml:space="preserve"> се присъедини към Европейската организация за </w:t>
      </w:r>
      <w:proofErr w:type="spellStart"/>
      <w:r w:rsidR="0064033E" w:rsidRPr="00856424">
        <w:rPr>
          <w:rFonts w:eastAsiaTheme="minorHAnsi"/>
          <w:lang w:eastAsia="en-US"/>
        </w:rPr>
        <w:t>киберсигурност</w:t>
      </w:r>
      <w:proofErr w:type="spellEnd"/>
      <w:r w:rsidR="0064033E" w:rsidRPr="00856424">
        <w:rPr>
          <w:rFonts w:eastAsiaTheme="minorHAnsi"/>
          <w:lang w:eastAsia="en-US"/>
        </w:rPr>
        <w:t xml:space="preserve"> (ECSO). В стремежа си да </w:t>
      </w:r>
      <w:r w:rsidR="00D425AE" w:rsidRPr="00856424">
        <w:rPr>
          <w:rFonts w:eastAsiaTheme="minorHAnsi"/>
          <w:lang w:eastAsia="en-US"/>
        </w:rPr>
        <w:t>информират представителите на правителството за нуждите на бизнеса</w:t>
      </w:r>
      <w:r w:rsidR="0064033E" w:rsidRPr="00856424">
        <w:rPr>
          <w:rFonts w:eastAsiaTheme="minorHAnsi"/>
          <w:lang w:eastAsia="en-US"/>
        </w:rPr>
        <w:t xml:space="preserve">, в началото на 2021 г. </w:t>
      </w:r>
      <w:r w:rsidRPr="00856424">
        <w:rPr>
          <w:rFonts w:eastAsiaTheme="minorHAnsi"/>
          <w:lang w:eastAsia="en-US"/>
        </w:rPr>
        <w:t>С</w:t>
      </w:r>
      <w:r w:rsidR="000216F5" w:rsidRPr="00856424">
        <w:rPr>
          <w:rFonts w:eastAsiaTheme="minorHAnsi"/>
          <w:lang w:eastAsia="en-US"/>
        </w:rPr>
        <w:t>С</w:t>
      </w:r>
      <w:r w:rsidRPr="00856424">
        <w:rPr>
          <w:rFonts w:eastAsiaTheme="minorHAnsi"/>
          <w:lang w:eastAsia="en-US"/>
        </w:rPr>
        <w:t>И</w:t>
      </w:r>
      <w:r w:rsidR="0064033E" w:rsidRPr="00856424">
        <w:rPr>
          <w:rFonts w:eastAsiaTheme="minorHAnsi"/>
          <w:lang w:eastAsia="en-US"/>
        </w:rPr>
        <w:t xml:space="preserve">, съвместно с водещ български университет, организира онлайн събитие, наречено "Да говорим за политика, </w:t>
      </w:r>
      <w:proofErr w:type="spellStart"/>
      <w:r w:rsidR="0064033E" w:rsidRPr="00856424">
        <w:rPr>
          <w:rFonts w:eastAsiaTheme="minorHAnsi"/>
          <w:lang w:eastAsia="en-US"/>
        </w:rPr>
        <w:t>цифровизация</w:t>
      </w:r>
      <w:proofErr w:type="spellEnd"/>
      <w:r w:rsidR="0064033E" w:rsidRPr="00856424">
        <w:rPr>
          <w:rFonts w:eastAsiaTheme="minorHAnsi"/>
          <w:lang w:eastAsia="en-US"/>
        </w:rPr>
        <w:t xml:space="preserve"> и устойчивост: младежки въпроси". По време на събитието дискусиите се фокусираха върху </w:t>
      </w:r>
      <w:proofErr w:type="spellStart"/>
      <w:r w:rsidR="000216F5" w:rsidRPr="00856424">
        <w:rPr>
          <w:rFonts w:eastAsiaTheme="minorHAnsi"/>
          <w:lang w:eastAsia="en-US"/>
        </w:rPr>
        <w:t>киберсигурността</w:t>
      </w:r>
      <w:proofErr w:type="spellEnd"/>
      <w:r w:rsidR="000216F5" w:rsidRPr="00856424">
        <w:rPr>
          <w:rFonts w:eastAsiaTheme="minorHAnsi"/>
          <w:lang w:eastAsia="en-US"/>
        </w:rPr>
        <w:t xml:space="preserve"> и измеренията на образованието и бизнеса.</w:t>
      </w:r>
      <w:r w:rsidR="0064033E" w:rsidRPr="00856424">
        <w:rPr>
          <w:rFonts w:eastAsiaTheme="minorHAnsi"/>
          <w:lang w:eastAsia="en-US"/>
        </w:rPr>
        <w:t xml:space="preserve">  </w:t>
      </w:r>
    </w:p>
    <w:p w:rsidR="00321F32" w:rsidRPr="00856424" w:rsidRDefault="0064033E" w:rsidP="00B334C5">
      <w:pPr>
        <w:pStyle w:val="ListParagraph"/>
        <w:numPr>
          <w:ilvl w:val="0"/>
          <w:numId w:val="3"/>
        </w:numPr>
        <w:spacing w:line="360" w:lineRule="auto"/>
        <w:jc w:val="both"/>
        <w:rPr>
          <w:rStyle w:val="jlqj4b"/>
          <w:rFonts w:eastAsiaTheme="minorHAnsi"/>
          <w:b/>
          <w:lang w:eastAsia="en-US"/>
        </w:rPr>
      </w:pPr>
      <w:r w:rsidRPr="00856424">
        <w:rPr>
          <w:rStyle w:val="jlqj4b"/>
          <w:rFonts w:eastAsiaTheme="majorEastAsia"/>
          <w:b/>
        </w:rPr>
        <w:t>В сектор "Образование"</w:t>
      </w:r>
    </w:p>
    <w:p w:rsidR="0064033E" w:rsidRPr="00856424" w:rsidRDefault="0064033E" w:rsidP="00B334C5">
      <w:pPr>
        <w:pStyle w:val="ListParagraph"/>
        <w:numPr>
          <w:ilvl w:val="0"/>
          <w:numId w:val="10"/>
        </w:numPr>
        <w:spacing w:line="360" w:lineRule="auto"/>
        <w:jc w:val="both"/>
        <w:rPr>
          <w:rStyle w:val="jlqj4b"/>
          <w:rFonts w:eastAsiaTheme="majorEastAsia"/>
        </w:rPr>
      </w:pPr>
      <w:r w:rsidRPr="00856424">
        <w:rPr>
          <w:rStyle w:val="jlqj4b"/>
          <w:rFonts w:eastAsiaTheme="majorEastAsia"/>
        </w:rPr>
        <w:t xml:space="preserve">В България за 2020 г. и 2021 г. </w:t>
      </w:r>
      <w:r w:rsidR="000216F5" w:rsidRPr="00856424">
        <w:rPr>
          <w:rStyle w:val="jlqj4b"/>
          <w:rFonts w:eastAsiaTheme="majorEastAsia"/>
        </w:rPr>
        <w:t>в рамките на с</w:t>
      </w:r>
      <w:r w:rsidRPr="00856424">
        <w:rPr>
          <w:rStyle w:val="jlqj4b"/>
          <w:rFonts w:eastAsiaTheme="majorEastAsia"/>
        </w:rPr>
        <w:t>екторния трудов договор в системата на училищното и предучилищното образование</w:t>
      </w:r>
      <w:r w:rsidR="00636B56" w:rsidRPr="00856424">
        <w:rPr>
          <w:rStyle w:val="jlqj4b"/>
          <w:rFonts w:eastAsiaTheme="majorEastAsia"/>
        </w:rPr>
        <w:t>,</w:t>
      </w:r>
      <w:r w:rsidRPr="00856424">
        <w:rPr>
          <w:rStyle w:val="jlqj4b"/>
          <w:rFonts w:eastAsiaTheme="majorEastAsia"/>
        </w:rPr>
        <w:t xml:space="preserve"> </w:t>
      </w:r>
      <w:r w:rsidR="00636B56" w:rsidRPr="00856424">
        <w:rPr>
          <w:rStyle w:val="jlqj4b"/>
          <w:rFonts w:eastAsiaTheme="majorEastAsia"/>
        </w:rPr>
        <w:t xml:space="preserve">социалните партньори </w:t>
      </w:r>
      <w:r w:rsidR="00636B56" w:rsidRPr="00856424">
        <w:rPr>
          <w:rStyle w:val="jlqj4b"/>
          <w:rFonts w:eastAsiaTheme="majorEastAsia"/>
        </w:rPr>
        <w:lastRenderedPageBreak/>
        <w:t xml:space="preserve">договориха </w:t>
      </w:r>
      <w:r w:rsidRPr="00856424">
        <w:rPr>
          <w:rStyle w:val="jlqj4b"/>
          <w:rFonts w:eastAsiaTheme="majorEastAsia"/>
        </w:rPr>
        <w:t xml:space="preserve">допълнителни плащания за учителите, които работят в условията на учебен процес </w:t>
      </w:r>
      <w:r w:rsidR="00636B56" w:rsidRPr="00856424">
        <w:rPr>
          <w:rStyle w:val="jlqj4b"/>
          <w:rFonts w:eastAsiaTheme="majorEastAsia"/>
        </w:rPr>
        <w:t xml:space="preserve">онлайн </w:t>
      </w:r>
      <w:r w:rsidRPr="00856424">
        <w:rPr>
          <w:rStyle w:val="jlqj4b"/>
          <w:rFonts w:eastAsiaTheme="majorEastAsia"/>
        </w:rPr>
        <w:t>(работа от разстояние в реално време).</w:t>
      </w:r>
    </w:p>
    <w:p w:rsidR="0064033E" w:rsidRPr="00856424" w:rsidRDefault="0064033E" w:rsidP="00B334C5">
      <w:pPr>
        <w:pStyle w:val="ListParagraph"/>
        <w:numPr>
          <w:ilvl w:val="0"/>
          <w:numId w:val="10"/>
        </w:numPr>
        <w:spacing w:line="360" w:lineRule="auto"/>
        <w:jc w:val="both"/>
        <w:rPr>
          <w:rStyle w:val="jlqj4b"/>
          <w:rFonts w:eastAsiaTheme="majorEastAsia"/>
        </w:rPr>
      </w:pPr>
      <w:r w:rsidRPr="00856424">
        <w:rPr>
          <w:rStyle w:val="jlqj4b"/>
          <w:rFonts w:eastAsiaTheme="majorEastAsia"/>
        </w:rPr>
        <w:t>Пример в областта на предучилищното и училищното образование</w:t>
      </w:r>
      <w:r w:rsidR="000216F5" w:rsidRPr="00856424">
        <w:rPr>
          <w:rStyle w:val="jlqj4b"/>
          <w:rFonts w:eastAsiaTheme="majorEastAsia"/>
        </w:rPr>
        <w:t>:</w:t>
      </w:r>
      <w:r w:rsidRPr="00856424">
        <w:rPr>
          <w:rStyle w:val="jlqj4b"/>
          <w:rFonts w:eastAsiaTheme="majorEastAsia"/>
        </w:rPr>
        <w:t xml:space="preserve"> след въвеждането на извънредно положение в България поради разпространението на </w:t>
      </w:r>
      <w:r w:rsidR="000216F5" w:rsidRPr="00856424">
        <w:rPr>
          <w:rStyle w:val="jlqj4b"/>
          <w:rFonts w:eastAsiaTheme="majorEastAsia"/>
        </w:rPr>
        <w:t>Ковид</w:t>
      </w:r>
      <w:r w:rsidRPr="00856424">
        <w:rPr>
          <w:rStyle w:val="jlqj4b"/>
          <w:rFonts w:eastAsiaTheme="majorEastAsia"/>
        </w:rPr>
        <w:t>-19 и приемането на Закона за предучилищното и училищното образование</w:t>
      </w:r>
      <w:r w:rsidR="00636B56" w:rsidRPr="00856424">
        <w:rPr>
          <w:rStyle w:val="jlqj4b"/>
          <w:rFonts w:eastAsiaTheme="majorEastAsia"/>
        </w:rPr>
        <w:t>,</w:t>
      </w:r>
      <w:r w:rsidRPr="00856424">
        <w:rPr>
          <w:rStyle w:val="jlqj4b"/>
          <w:rFonts w:eastAsiaTheme="majorEastAsia"/>
        </w:rPr>
        <w:t xml:space="preserve"> бяха приети промени в редица нормативни актове, вкл. и на КТ. </w:t>
      </w:r>
      <w:r w:rsidR="00F45BDE" w:rsidRPr="00856424">
        <w:rPr>
          <w:rStyle w:val="jlqj4b"/>
          <w:rFonts w:eastAsiaTheme="majorEastAsia"/>
        </w:rPr>
        <w:t>В</w:t>
      </w:r>
      <w:r w:rsidRPr="00856424">
        <w:rPr>
          <w:rStyle w:val="jlqj4b"/>
          <w:rFonts w:eastAsiaTheme="majorEastAsia"/>
        </w:rPr>
        <w:t xml:space="preserve"> разпоредбата на чл. 20 от </w:t>
      </w:r>
      <w:r w:rsidR="00F45BDE" w:rsidRPr="00856424">
        <w:rPr>
          <w:rStyle w:val="jlqj4b"/>
          <w:rFonts w:eastAsiaTheme="majorEastAsia"/>
        </w:rPr>
        <w:t>Закона за защита на правата на човека и основните свободи</w:t>
      </w:r>
      <w:r w:rsidRPr="00856424">
        <w:rPr>
          <w:rStyle w:val="jlqj4b"/>
          <w:rFonts w:eastAsiaTheme="majorEastAsia"/>
        </w:rPr>
        <w:t xml:space="preserve"> е предвидено, че до края на учебната 2019-2020 г. обучението на учениците, както и подкрепата за личностно развитие, се осъществяват по възможност дистанционно в електронна среда чрез средствата на ИКТ. Обучението включва часове за дистанционно обучение, самоподготовка, текуща обратна връзка за резултатите от обучението и оценяване.</w:t>
      </w:r>
    </w:p>
    <w:p w:rsidR="00321F32" w:rsidRPr="00856424" w:rsidRDefault="00321F32" w:rsidP="00B334C5">
      <w:pPr>
        <w:spacing w:line="360" w:lineRule="auto"/>
        <w:jc w:val="both"/>
        <w:rPr>
          <w:rFonts w:eastAsiaTheme="minorHAnsi"/>
          <w:lang w:eastAsia="en-US"/>
        </w:rPr>
      </w:pPr>
    </w:p>
    <w:p w:rsidR="00320C48" w:rsidRPr="00856424" w:rsidRDefault="00043630" w:rsidP="00B334C5">
      <w:pPr>
        <w:pStyle w:val="ListParagraph"/>
        <w:numPr>
          <w:ilvl w:val="0"/>
          <w:numId w:val="4"/>
        </w:numPr>
        <w:spacing w:line="360" w:lineRule="auto"/>
        <w:jc w:val="both"/>
        <w:rPr>
          <w:rFonts w:eastAsiaTheme="minorHAnsi"/>
          <w:b/>
          <w:lang w:eastAsia="en-US"/>
        </w:rPr>
      </w:pPr>
      <w:proofErr w:type="spellStart"/>
      <w:r w:rsidRPr="00856424">
        <w:rPr>
          <w:rFonts w:eastAsiaTheme="minorHAnsi"/>
          <w:b/>
          <w:lang w:eastAsia="en-US"/>
        </w:rPr>
        <w:t>References</w:t>
      </w:r>
      <w:proofErr w:type="spellEnd"/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National </w:t>
      </w:r>
      <w:proofErr w:type="spellStart"/>
      <w:r w:rsidRPr="00856424">
        <w:rPr>
          <w:rFonts w:eastAsiaTheme="minorHAnsi"/>
          <w:lang w:eastAsia="en-US"/>
        </w:rPr>
        <w:t>Statistical</w:t>
      </w:r>
      <w:proofErr w:type="spellEnd"/>
      <w:r w:rsidRPr="00856424">
        <w:rPr>
          <w:rFonts w:eastAsiaTheme="minorHAnsi"/>
          <w:lang w:eastAsia="en-US"/>
        </w:rPr>
        <w:t xml:space="preserve"> Institute. </w:t>
      </w:r>
      <w:proofErr w:type="spellStart"/>
      <w:r w:rsidRPr="00856424">
        <w:rPr>
          <w:rFonts w:eastAsiaTheme="minorHAnsi"/>
          <w:lang w:eastAsia="en-US"/>
        </w:rPr>
        <w:t>Gross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Domestic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Product</w:t>
      </w:r>
      <w:proofErr w:type="spellEnd"/>
      <w:r w:rsidRPr="00856424">
        <w:rPr>
          <w:rFonts w:eastAsiaTheme="minorHAnsi"/>
          <w:lang w:eastAsia="en-US"/>
        </w:rPr>
        <w:t xml:space="preserve"> (GDP) </w:t>
      </w:r>
      <w:proofErr w:type="spellStart"/>
      <w:r w:rsidRPr="00856424">
        <w:rPr>
          <w:rFonts w:eastAsiaTheme="minorHAnsi"/>
          <w:lang w:eastAsia="en-US"/>
        </w:rPr>
        <w:t>database</w:t>
      </w:r>
      <w:proofErr w:type="spellEnd"/>
      <w:r w:rsidRPr="00856424">
        <w:rPr>
          <w:rFonts w:eastAsiaTheme="minorHAnsi"/>
          <w:lang w:eastAsia="en-US"/>
        </w:rPr>
        <w:t xml:space="preserve">. </w:t>
      </w:r>
      <w:proofErr w:type="spellStart"/>
      <w:r w:rsidRPr="00856424">
        <w:rPr>
          <w:rFonts w:eastAsiaTheme="minorHAnsi"/>
          <w:lang w:eastAsia="en-US"/>
        </w:rPr>
        <w:t>Information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Society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database</w:t>
      </w:r>
      <w:proofErr w:type="spellEnd"/>
      <w:r w:rsidRPr="00856424">
        <w:rPr>
          <w:rFonts w:eastAsiaTheme="minorHAnsi"/>
          <w:lang w:eastAsia="en-US"/>
        </w:rPr>
        <w:t>;</w:t>
      </w:r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856424">
        <w:rPr>
          <w:rFonts w:eastAsiaTheme="minorHAnsi"/>
          <w:lang w:eastAsia="en-US"/>
        </w:rPr>
        <w:t>Eurostat</w:t>
      </w:r>
      <w:proofErr w:type="spellEnd"/>
      <w:r w:rsidRPr="00856424">
        <w:rPr>
          <w:rFonts w:eastAsiaTheme="minorHAnsi"/>
          <w:lang w:eastAsia="en-US"/>
        </w:rPr>
        <w:t xml:space="preserve">. </w:t>
      </w:r>
      <w:proofErr w:type="spellStart"/>
      <w:r w:rsidRPr="00856424">
        <w:rPr>
          <w:rFonts w:eastAsiaTheme="minorHAnsi"/>
          <w:lang w:eastAsia="en-US"/>
        </w:rPr>
        <w:t>Digital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economy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and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society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database</w:t>
      </w:r>
      <w:proofErr w:type="spellEnd"/>
      <w:r w:rsidRPr="00856424">
        <w:rPr>
          <w:rFonts w:eastAsiaTheme="minorHAnsi"/>
          <w:lang w:eastAsia="en-US"/>
        </w:rPr>
        <w:t>;</w:t>
      </w:r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Institute </w:t>
      </w:r>
      <w:proofErr w:type="spellStart"/>
      <w:r w:rsidRPr="00856424">
        <w:rPr>
          <w:rFonts w:eastAsiaTheme="minorHAnsi"/>
          <w:lang w:eastAsia="en-US"/>
        </w:rPr>
        <w:t>for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Management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Development</w:t>
      </w:r>
      <w:proofErr w:type="spellEnd"/>
      <w:r w:rsidRPr="00856424">
        <w:rPr>
          <w:rFonts w:eastAsiaTheme="minorHAnsi"/>
          <w:lang w:eastAsia="en-US"/>
        </w:rPr>
        <w:t xml:space="preserve"> (IMD). 2020. IMD World </w:t>
      </w:r>
      <w:proofErr w:type="spellStart"/>
      <w:r w:rsidRPr="00856424">
        <w:rPr>
          <w:rFonts w:eastAsiaTheme="minorHAnsi"/>
          <w:lang w:eastAsia="en-US"/>
        </w:rPr>
        <w:t>Digital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Competitiveness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Ranking</w:t>
      </w:r>
      <w:proofErr w:type="spellEnd"/>
      <w:r w:rsidRPr="00856424">
        <w:rPr>
          <w:rFonts w:eastAsiaTheme="minorHAnsi"/>
          <w:lang w:eastAsia="en-US"/>
        </w:rPr>
        <w:t xml:space="preserve"> 2020;</w:t>
      </w:r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856424">
        <w:rPr>
          <w:rFonts w:eastAsiaTheme="minorHAnsi"/>
          <w:lang w:eastAsia="en-US"/>
        </w:rPr>
        <w:t>European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Commission</w:t>
      </w:r>
      <w:proofErr w:type="spellEnd"/>
      <w:r w:rsidRPr="00856424">
        <w:rPr>
          <w:rFonts w:eastAsiaTheme="minorHAnsi"/>
          <w:lang w:eastAsia="en-US"/>
        </w:rPr>
        <w:t xml:space="preserve">. </w:t>
      </w:r>
      <w:proofErr w:type="spellStart"/>
      <w:r w:rsidRPr="00856424">
        <w:rPr>
          <w:rFonts w:eastAsiaTheme="minorHAnsi"/>
          <w:lang w:eastAsia="en-US"/>
        </w:rPr>
        <w:t>Digital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Economy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and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Society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Index</w:t>
      </w:r>
      <w:proofErr w:type="spellEnd"/>
      <w:r w:rsidRPr="00856424">
        <w:rPr>
          <w:rFonts w:eastAsiaTheme="minorHAnsi"/>
          <w:lang w:eastAsia="en-US"/>
        </w:rPr>
        <w:t>;</w:t>
      </w:r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856424">
        <w:rPr>
          <w:rFonts w:eastAsiaTheme="minorHAnsi"/>
          <w:lang w:eastAsia="en-US"/>
        </w:rPr>
        <w:t>Move</w:t>
      </w:r>
      <w:proofErr w:type="spellEnd"/>
      <w:r w:rsidRPr="00856424">
        <w:rPr>
          <w:rFonts w:eastAsiaTheme="minorHAnsi"/>
          <w:lang w:eastAsia="en-US"/>
        </w:rPr>
        <w:t>.</w:t>
      </w:r>
      <w:proofErr w:type="spellStart"/>
      <w:r w:rsidRPr="00856424">
        <w:rPr>
          <w:rFonts w:eastAsiaTheme="minorHAnsi"/>
          <w:lang w:eastAsia="en-US"/>
        </w:rPr>
        <w:t>bg</w:t>
      </w:r>
      <w:proofErr w:type="spellEnd"/>
      <w:r w:rsidRPr="00856424">
        <w:rPr>
          <w:rFonts w:eastAsiaTheme="minorHAnsi"/>
          <w:lang w:eastAsia="en-US"/>
        </w:rPr>
        <w:t xml:space="preserve">. 2019. 2019 EDIT </w:t>
      </w:r>
      <w:proofErr w:type="spellStart"/>
      <w:r w:rsidRPr="00856424">
        <w:rPr>
          <w:rFonts w:eastAsiaTheme="minorHAnsi"/>
          <w:lang w:eastAsia="en-US"/>
        </w:rPr>
        <w:t>national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report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on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digital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micro</w:t>
      </w:r>
      <w:proofErr w:type="spellEnd"/>
      <w:r w:rsidRPr="00856424">
        <w:rPr>
          <w:rFonts w:eastAsiaTheme="minorHAnsi"/>
          <w:lang w:eastAsia="en-US"/>
        </w:rPr>
        <w:t xml:space="preserve">, </w:t>
      </w:r>
      <w:proofErr w:type="spellStart"/>
      <w:r w:rsidRPr="00856424">
        <w:rPr>
          <w:rFonts w:eastAsiaTheme="minorHAnsi"/>
          <w:lang w:eastAsia="en-US"/>
        </w:rPr>
        <w:t>small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and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startup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business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in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Bulgaria</w:t>
      </w:r>
      <w:proofErr w:type="spellEnd"/>
      <w:r w:rsidRPr="00856424">
        <w:rPr>
          <w:rFonts w:eastAsiaTheme="minorHAnsi"/>
          <w:lang w:eastAsia="en-US"/>
        </w:rPr>
        <w:t>;</w:t>
      </w:r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856424">
        <w:rPr>
          <w:rFonts w:eastAsiaTheme="minorHAnsi"/>
          <w:lang w:eastAsia="en-US"/>
        </w:rPr>
        <w:t>The</w:t>
      </w:r>
      <w:proofErr w:type="spellEnd"/>
      <w:r w:rsidRPr="00856424">
        <w:rPr>
          <w:rFonts w:eastAsiaTheme="minorHAnsi"/>
          <w:lang w:eastAsia="en-US"/>
        </w:rPr>
        <w:t xml:space="preserve"> World </w:t>
      </w:r>
      <w:proofErr w:type="spellStart"/>
      <w:r w:rsidRPr="00856424">
        <w:rPr>
          <w:rFonts w:eastAsiaTheme="minorHAnsi"/>
          <w:lang w:eastAsia="en-US"/>
        </w:rPr>
        <w:t>Bank</w:t>
      </w:r>
      <w:proofErr w:type="spellEnd"/>
      <w:r w:rsidRPr="00856424">
        <w:rPr>
          <w:rFonts w:eastAsiaTheme="minorHAnsi"/>
          <w:lang w:eastAsia="en-US"/>
        </w:rPr>
        <w:t xml:space="preserve">. 2020. </w:t>
      </w:r>
      <w:proofErr w:type="spellStart"/>
      <w:r w:rsidRPr="00856424">
        <w:rPr>
          <w:rFonts w:eastAsiaTheme="minorHAnsi"/>
          <w:lang w:eastAsia="en-US"/>
        </w:rPr>
        <w:t>Bulgaria’s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Industry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Adopted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Artificial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Intelligence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Solutions</w:t>
      </w:r>
      <w:proofErr w:type="spellEnd"/>
      <w:r w:rsidRPr="00856424">
        <w:rPr>
          <w:rFonts w:eastAsiaTheme="minorHAnsi"/>
          <w:lang w:eastAsia="en-US"/>
        </w:rPr>
        <w:t xml:space="preserve">, </w:t>
      </w:r>
      <w:proofErr w:type="spellStart"/>
      <w:r w:rsidRPr="00856424">
        <w:rPr>
          <w:rFonts w:eastAsiaTheme="minorHAnsi"/>
          <w:lang w:eastAsia="en-US"/>
        </w:rPr>
        <w:t>Finds</w:t>
      </w:r>
      <w:proofErr w:type="spellEnd"/>
      <w:r w:rsidRPr="00856424">
        <w:rPr>
          <w:rFonts w:eastAsiaTheme="minorHAnsi"/>
          <w:lang w:eastAsia="en-US"/>
        </w:rPr>
        <w:t xml:space="preserve"> a New World </w:t>
      </w:r>
      <w:proofErr w:type="spellStart"/>
      <w:r w:rsidRPr="00856424">
        <w:rPr>
          <w:rFonts w:eastAsiaTheme="minorHAnsi"/>
          <w:lang w:eastAsia="en-US"/>
        </w:rPr>
        <w:t>Bank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Report</w:t>
      </w:r>
      <w:proofErr w:type="spellEnd"/>
      <w:r w:rsidRPr="00856424">
        <w:rPr>
          <w:rFonts w:eastAsiaTheme="minorHAnsi"/>
          <w:lang w:eastAsia="en-US"/>
        </w:rPr>
        <w:t xml:space="preserve">.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</w:t>
      </w:r>
      <w:hyperlink r:id="rId9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https://www.worldbank.org/en/news/press-release/2020/11/09/bulgarias-industry-adopted-artificial-intelligence-solutions-finds-a-new-world-bank-report</w:t>
        </w:r>
      </w:hyperlink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National </w:t>
      </w:r>
      <w:proofErr w:type="spellStart"/>
      <w:r w:rsidRPr="00856424">
        <w:rPr>
          <w:rFonts w:eastAsiaTheme="minorHAnsi"/>
          <w:lang w:eastAsia="en-US"/>
        </w:rPr>
        <w:t>Assembly</w:t>
      </w:r>
      <w:proofErr w:type="spellEnd"/>
      <w:r w:rsidRPr="00856424">
        <w:rPr>
          <w:rFonts w:eastAsiaTheme="minorHAnsi"/>
          <w:lang w:eastAsia="en-US"/>
        </w:rPr>
        <w:t xml:space="preserve"> of </w:t>
      </w:r>
      <w:proofErr w:type="spellStart"/>
      <w:r w:rsidRPr="00856424">
        <w:rPr>
          <w:rFonts w:eastAsiaTheme="minorHAnsi"/>
          <w:lang w:eastAsia="en-US"/>
        </w:rPr>
        <w:t>the</w:t>
      </w:r>
      <w:proofErr w:type="spellEnd"/>
      <w:r w:rsidRPr="00856424">
        <w:rPr>
          <w:rFonts w:eastAsiaTheme="minorHAnsi"/>
          <w:lang w:eastAsia="en-US"/>
        </w:rPr>
        <w:t xml:space="preserve"> Republic of </w:t>
      </w:r>
      <w:proofErr w:type="spellStart"/>
      <w:r w:rsidRPr="00856424">
        <w:rPr>
          <w:rFonts w:eastAsiaTheme="minorHAnsi"/>
          <w:lang w:eastAsia="en-US"/>
        </w:rPr>
        <w:t>Bulgaria</w:t>
      </w:r>
      <w:proofErr w:type="spellEnd"/>
      <w:r w:rsidRPr="00856424">
        <w:rPr>
          <w:rFonts w:eastAsiaTheme="minorHAnsi"/>
          <w:lang w:eastAsia="en-US"/>
        </w:rPr>
        <w:t xml:space="preserve">. 2021. </w:t>
      </w:r>
      <w:proofErr w:type="spellStart"/>
      <w:r w:rsidRPr="00856424">
        <w:rPr>
          <w:rFonts w:eastAsiaTheme="minorHAnsi"/>
          <w:lang w:eastAsia="en-US"/>
        </w:rPr>
        <w:t>The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Chairperson</w:t>
      </w:r>
      <w:proofErr w:type="spellEnd"/>
      <w:r w:rsidRPr="00856424">
        <w:rPr>
          <w:rFonts w:eastAsiaTheme="minorHAnsi"/>
          <w:lang w:eastAsia="en-US"/>
        </w:rPr>
        <w:t xml:space="preserve"> of </w:t>
      </w:r>
      <w:proofErr w:type="spellStart"/>
      <w:r w:rsidRPr="00856424">
        <w:rPr>
          <w:rFonts w:eastAsiaTheme="minorHAnsi"/>
          <w:lang w:eastAsia="en-US"/>
        </w:rPr>
        <w:t>the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Economic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and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Social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Council</w:t>
      </w:r>
      <w:proofErr w:type="spellEnd"/>
      <w:r w:rsidRPr="00856424">
        <w:rPr>
          <w:rFonts w:eastAsiaTheme="minorHAnsi"/>
          <w:lang w:eastAsia="en-US"/>
        </w:rPr>
        <w:t xml:space="preserve">: </w:t>
      </w:r>
      <w:proofErr w:type="spellStart"/>
      <w:r w:rsidRPr="00856424">
        <w:rPr>
          <w:rFonts w:eastAsiaTheme="minorHAnsi"/>
          <w:lang w:eastAsia="en-US"/>
        </w:rPr>
        <w:t>If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we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are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talking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about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digital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transformation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now</w:t>
      </w:r>
      <w:proofErr w:type="spellEnd"/>
      <w:r w:rsidRPr="00856424">
        <w:rPr>
          <w:rFonts w:eastAsiaTheme="minorHAnsi"/>
          <w:lang w:eastAsia="en-US"/>
        </w:rPr>
        <w:t xml:space="preserve">, </w:t>
      </w:r>
      <w:proofErr w:type="spellStart"/>
      <w:r w:rsidRPr="00856424">
        <w:rPr>
          <w:rFonts w:eastAsiaTheme="minorHAnsi"/>
          <w:lang w:eastAsia="en-US"/>
        </w:rPr>
        <w:t>we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will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soon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be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talking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about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digital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convergence</w:t>
      </w:r>
      <w:proofErr w:type="spellEnd"/>
      <w:r w:rsidRPr="00856424">
        <w:rPr>
          <w:rFonts w:eastAsiaTheme="minorHAnsi"/>
          <w:lang w:eastAsia="en-US"/>
        </w:rPr>
        <w:t xml:space="preserve">.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 </w:t>
      </w:r>
      <w:hyperlink r:id="rId10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https://parliament.bg/bg/news/ID/5203</w:t>
        </w:r>
      </w:hyperlink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856424">
        <w:rPr>
          <w:rFonts w:eastAsiaTheme="minorHAnsi"/>
          <w:lang w:eastAsia="en-US"/>
        </w:rPr>
        <w:lastRenderedPageBreak/>
        <w:t>Move</w:t>
      </w:r>
      <w:proofErr w:type="spellEnd"/>
      <w:r w:rsidRPr="00856424">
        <w:rPr>
          <w:rFonts w:eastAsiaTheme="minorHAnsi"/>
          <w:lang w:eastAsia="en-US"/>
        </w:rPr>
        <w:t>.</w:t>
      </w:r>
      <w:proofErr w:type="spellStart"/>
      <w:r w:rsidRPr="00856424">
        <w:rPr>
          <w:rFonts w:eastAsiaTheme="minorHAnsi"/>
          <w:lang w:eastAsia="en-US"/>
        </w:rPr>
        <w:t>bg</w:t>
      </w:r>
      <w:proofErr w:type="spellEnd"/>
      <w:r w:rsidRPr="00856424">
        <w:rPr>
          <w:rFonts w:eastAsiaTheme="minorHAnsi"/>
          <w:lang w:eastAsia="en-US"/>
        </w:rPr>
        <w:t xml:space="preserve">. 2021. </w:t>
      </w:r>
      <w:proofErr w:type="spellStart"/>
      <w:r w:rsidRPr="00856424">
        <w:rPr>
          <w:rFonts w:eastAsiaTheme="minorHAnsi"/>
          <w:lang w:eastAsia="en-US"/>
        </w:rPr>
        <w:t>Bulgaria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may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be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Green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and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Wealthy</w:t>
      </w:r>
      <w:proofErr w:type="spellEnd"/>
      <w:r w:rsidRPr="00856424">
        <w:rPr>
          <w:rFonts w:eastAsiaTheme="minorHAnsi"/>
          <w:lang w:eastAsia="en-US"/>
        </w:rPr>
        <w:t xml:space="preserve">. </w:t>
      </w:r>
      <w:proofErr w:type="spellStart"/>
      <w:r w:rsidRPr="00856424">
        <w:rPr>
          <w:rFonts w:eastAsiaTheme="minorHAnsi"/>
          <w:lang w:eastAsia="en-US"/>
        </w:rPr>
        <w:t>Let's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not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miss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this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Opportunity</w:t>
      </w:r>
      <w:proofErr w:type="spellEnd"/>
      <w:r w:rsidRPr="00856424">
        <w:rPr>
          <w:rFonts w:eastAsiaTheme="minorHAnsi"/>
          <w:lang w:eastAsia="en-US"/>
        </w:rPr>
        <w:t xml:space="preserve">!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</w:t>
      </w:r>
      <w:hyperlink r:id="rId11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https://move.bg/stanovishte-mart</w:t>
        </w:r>
      </w:hyperlink>
    </w:p>
    <w:p w:rsidR="006653B7" w:rsidRPr="00856424" w:rsidRDefault="005D1255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hyperlink r:id="rId12" w:history="1">
        <w:r w:rsidR="00320C48" w:rsidRPr="00856424">
          <w:rPr>
            <w:rFonts w:eastAsiaTheme="minorHAnsi"/>
            <w:color w:val="0000FF" w:themeColor="hyperlink"/>
            <w:u w:val="single"/>
            <w:lang w:eastAsia="en-US"/>
          </w:rPr>
          <w:t>https://unctad.org/system/files/non-official-document/CSTD_2018_IPanel_T2_DigitalComp_con15_Bulgaria_en.pdf</w:t>
        </w:r>
      </w:hyperlink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856424">
        <w:rPr>
          <w:rFonts w:eastAsiaTheme="minorHAnsi"/>
          <w:lang w:eastAsia="en-US"/>
        </w:rPr>
        <w:t>Ministry</w:t>
      </w:r>
      <w:proofErr w:type="spellEnd"/>
      <w:r w:rsidRPr="00856424">
        <w:rPr>
          <w:rFonts w:eastAsiaTheme="minorHAnsi"/>
          <w:lang w:eastAsia="en-US"/>
        </w:rPr>
        <w:t xml:space="preserve"> of </w:t>
      </w:r>
      <w:proofErr w:type="spellStart"/>
      <w:r w:rsidRPr="00856424">
        <w:rPr>
          <w:rFonts w:eastAsiaTheme="minorHAnsi"/>
          <w:lang w:eastAsia="en-US"/>
        </w:rPr>
        <w:t>Finance</w:t>
      </w:r>
      <w:proofErr w:type="spellEnd"/>
      <w:r w:rsidRPr="00856424">
        <w:rPr>
          <w:rFonts w:eastAsiaTheme="minorHAnsi"/>
          <w:lang w:eastAsia="en-US"/>
        </w:rPr>
        <w:t xml:space="preserve">. National </w:t>
      </w:r>
      <w:proofErr w:type="spellStart"/>
      <w:r w:rsidRPr="00856424">
        <w:rPr>
          <w:rFonts w:eastAsiaTheme="minorHAnsi"/>
          <w:lang w:eastAsia="en-US"/>
        </w:rPr>
        <w:t>Development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Programme</w:t>
      </w:r>
      <w:proofErr w:type="spellEnd"/>
      <w:r w:rsidRPr="00856424">
        <w:rPr>
          <w:rFonts w:eastAsiaTheme="minorHAnsi"/>
          <w:lang w:eastAsia="en-US"/>
        </w:rPr>
        <w:t xml:space="preserve"> BULGARIA 2030</w:t>
      </w:r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856424">
        <w:rPr>
          <w:rFonts w:eastAsiaTheme="minorHAnsi"/>
          <w:lang w:eastAsia="en-US"/>
        </w:rPr>
        <w:t>Ministry</w:t>
      </w:r>
      <w:proofErr w:type="spellEnd"/>
      <w:r w:rsidRPr="00856424">
        <w:rPr>
          <w:rFonts w:eastAsiaTheme="minorHAnsi"/>
          <w:lang w:eastAsia="en-US"/>
        </w:rPr>
        <w:t xml:space="preserve"> of </w:t>
      </w:r>
      <w:proofErr w:type="spellStart"/>
      <w:r w:rsidRPr="00856424">
        <w:rPr>
          <w:rFonts w:eastAsiaTheme="minorHAnsi"/>
          <w:lang w:eastAsia="en-US"/>
        </w:rPr>
        <w:t>Transport</w:t>
      </w:r>
      <w:proofErr w:type="spellEnd"/>
      <w:r w:rsidRPr="00856424">
        <w:rPr>
          <w:rFonts w:eastAsiaTheme="minorHAnsi"/>
          <w:lang w:eastAsia="en-US"/>
        </w:rPr>
        <w:t xml:space="preserve">, </w:t>
      </w:r>
      <w:proofErr w:type="spellStart"/>
      <w:r w:rsidRPr="00856424">
        <w:rPr>
          <w:rFonts w:eastAsiaTheme="minorHAnsi"/>
          <w:lang w:eastAsia="en-US"/>
        </w:rPr>
        <w:t>Information</w:t>
      </w:r>
      <w:proofErr w:type="spellEnd"/>
      <w:r w:rsidRPr="00856424">
        <w:rPr>
          <w:rFonts w:eastAsiaTheme="minorHAnsi"/>
          <w:lang w:eastAsia="en-US"/>
        </w:rPr>
        <w:t xml:space="preserve"> Technology </w:t>
      </w:r>
      <w:proofErr w:type="spellStart"/>
      <w:r w:rsidRPr="00856424">
        <w:rPr>
          <w:rFonts w:eastAsiaTheme="minorHAnsi"/>
          <w:lang w:eastAsia="en-US"/>
        </w:rPr>
        <w:t>and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Communications</w:t>
      </w:r>
      <w:proofErr w:type="spellEnd"/>
      <w:r w:rsidRPr="00856424">
        <w:rPr>
          <w:rFonts w:eastAsiaTheme="minorHAnsi"/>
          <w:lang w:eastAsia="en-US"/>
        </w:rPr>
        <w:t xml:space="preserve">. National </w:t>
      </w:r>
      <w:proofErr w:type="spellStart"/>
      <w:r w:rsidRPr="00856424">
        <w:rPr>
          <w:rFonts w:eastAsiaTheme="minorHAnsi"/>
          <w:lang w:eastAsia="en-US"/>
        </w:rPr>
        <w:t>Program</w:t>
      </w:r>
      <w:proofErr w:type="spellEnd"/>
      <w:r w:rsidRPr="00856424">
        <w:rPr>
          <w:rFonts w:eastAsiaTheme="minorHAnsi"/>
          <w:lang w:eastAsia="en-US"/>
        </w:rPr>
        <w:t xml:space="preserve"> "</w:t>
      </w:r>
      <w:proofErr w:type="spellStart"/>
      <w:r w:rsidRPr="00856424">
        <w:rPr>
          <w:rFonts w:eastAsiaTheme="minorHAnsi"/>
          <w:lang w:eastAsia="en-US"/>
        </w:rPr>
        <w:t>Digital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Bulgaria</w:t>
      </w:r>
      <w:proofErr w:type="spellEnd"/>
      <w:r w:rsidRPr="00856424">
        <w:rPr>
          <w:rFonts w:eastAsiaTheme="minorHAnsi"/>
          <w:lang w:eastAsia="en-US"/>
        </w:rPr>
        <w:t xml:space="preserve"> 2025" </w:t>
      </w:r>
      <w:proofErr w:type="spellStart"/>
      <w:r w:rsidRPr="00856424">
        <w:rPr>
          <w:rFonts w:eastAsiaTheme="minorHAnsi"/>
          <w:lang w:eastAsia="en-US"/>
        </w:rPr>
        <w:t>and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Road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map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for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its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implementation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is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adopted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by</w:t>
      </w:r>
      <w:proofErr w:type="spellEnd"/>
      <w:r w:rsidRPr="00856424">
        <w:rPr>
          <w:rFonts w:eastAsiaTheme="minorHAnsi"/>
          <w:lang w:eastAsia="en-US"/>
        </w:rPr>
        <w:t xml:space="preserve"> CM </w:t>
      </w:r>
      <w:proofErr w:type="spellStart"/>
      <w:r w:rsidRPr="00856424">
        <w:rPr>
          <w:rFonts w:eastAsiaTheme="minorHAnsi"/>
          <w:lang w:eastAsia="en-US"/>
        </w:rPr>
        <w:t>Decision</w:t>
      </w:r>
      <w:proofErr w:type="spellEnd"/>
      <w:r w:rsidRPr="00856424">
        <w:rPr>
          <w:rFonts w:eastAsiaTheme="minorHAnsi"/>
          <w:lang w:eastAsia="en-US"/>
        </w:rPr>
        <w:t xml:space="preserve"> №730/05-12-2019.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 </w:t>
      </w:r>
      <w:hyperlink r:id="rId13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https://www.mtitc.government.bg/en/category/85/national-program-digital-bulgaria-2025-and-road-map-its-implementation-are-adopted-cm-decision-no73005-12-2019</w:t>
        </w:r>
      </w:hyperlink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Institute of </w:t>
      </w:r>
      <w:proofErr w:type="spellStart"/>
      <w:r w:rsidRPr="00856424">
        <w:rPr>
          <w:rFonts w:eastAsiaTheme="minorHAnsi"/>
          <w:lang w:eastAsia="en-US"/>
        </w:rPr>
        <w:t>Public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Administration</w:t>
      </w:r>
      <w:proofErr w:type="spellEnd"/>
      <w:r w:rsidRPr="00856424">
        <w:rPr>
          <w:rFonts w:eastAsiaTheme="minorHAnsi"/>
          <w:lang w:eastAsia="en-US"/>
        </w:rPr>
        <w:t xml:space="preserve">. 2021. Близо 11 000 служители завършиха курсове на </w:t>
      </w:r>
      <w:proofErr w:type="spellStart"/>
      <w:r w:rsidRPr="00856424">
        <w:rPr>
          <w:rFonts w:eastAsiaTheme="minorHAnsi"/>
          <w:lang w:eastAsia="en-US"/>
        </w:rPr>
        <w:t>ипа</w:t>
      </w:r>
      <w:proofErr w:type="spellEnd"/>
      <w:r w:rsidRPr="00856424">
        <w:rPr>
          <w:rFonts w:eastAsiaTheme="minorHAnsi"/>
          <w:lang w:eastAsia="en-US"/>
        </w:rPr>
        <w:t xml:space="preserve"> през първото полугодие на 2021 г.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 </w:t>
      </w:r>
      <w:hyperlink r:id="rId14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https://www.ipa.government.bg/bg/novini/blizo-11-000-sluzhiteli-zavrshiha-kursove-na-ipa-prez-prvoto-polugodie-na-2021-g</w:t>
        </w:r>
      </w:hyperlink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856424">
        <w:rPr>
          <w:rFonts w:eastAsiaTheme="minorHAnsi"/>
          <w:lang w:eastAsia="en-US"/>
        </w:rPr>
        <w:t>Eurostat</w:t>
      </w:r>
      <w:proofErr w:type="spellEnd"/>
      <w:r w:rsidRPr="00856424">
        <w:rPr>
          <w:rFonts w:eastAsiaTheme="minorHAnsi"/>
          <w:lang w:eastAsia="en-US"/>
        </w:rPr>
        <w:t xml:space="preserve">. 2020. </w:t>
      </w:r>
      <w:proofErr w:type="spellStart"/>
      <w:r w:rsidRPr="00856424">
        <w:rPr>
          <w:rFonts w:eastAsiaTheme="minorHAnsi"/>
          <w:lang w:eastAsia="en-US"/>
        </w:rPr>
        <w:t>More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and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more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employees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use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mobile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business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devices</w:t>
      </w:r>
      <w:proofErr w:type="spellEnd"/>
      <w:r w:rsidRPr="00856424">
        <w:rPr>
          <w:rFonts w:eastAsiaTheme="minorHAnsi"/>
          <w:lang w:eastAsia="en-US"/>
        </w:rPr>
        <w:t xml:space="preserve">.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 </w:t>
      </w:r>
      <w:hyperlink r:id="rId15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https://ec.europa.eu/eurostat/web/products-eurostat-news/-/ddn-20200417-1</w:t>
        </w:r>
      </w:hyperlink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856424">
        <w:rPr>
          <w:rFonts w:eastAsiaTheme="minorHAnsi"/>
          <w:lang w:eastAsia="en-US"/>
        </w:rPr>
        <w:t>European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Structural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and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Investment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Funds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Information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Portal</w:t>
      </w:r>
      <w:proofErr w:type="spellEnd"/>
      <w:r w:rsidRPr="00856424">
        <w:rPr>
          <w:rFonts w:eastAsiaTheme="minorHAnsi"/>
          <w:lang w:eastAsia="en-US"/>
        </w:rPr>
        <w:t xml:space="preserve">. 2019. Кръгла маса по проект „Дигитални МСП” се проведе в Добрич.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 </w:t>
      </w:r>
      <w:hyperlink r:id="rId16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https://www.eufunds.bg/bg/node/3416</w:t>
        </w:r>
      </w:hyperlink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BCCI. 2019. </w:t>
      </w:r>
      <w:proofErr w:type="spellStart"/>
      <w:r w:rsidRPr="00856424">
        <w:rPr>
          <w:rFonts w:eastAsiaTheme="minorHAnsi"/>
          <w:lang w:eastAsia="en-US"/>
        </w:rPr>
        <w:t>Own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analysis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on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SMEs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digital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uptake</w:t>
      </w:r>
      <w:proofErr w:type="spellEnd"/>
      <w:r w:rsidRPr="00856424">
        <w:rPr>
          <w:rFonts w:eastAsiaTheme="minorHAnsi"/>
          <w:lang w:eastAsia="en-US"/>
        </w:rPr>
        <w:t xml:space="preserve">.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 </w:t>
      </w:r>
      <w:hyperlink r:id="rId17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https://www.bcci.bg/bulgarian/projects/DigSMSe/Analysis.pdf</w:t>
        </w:r>
      </w:hyperlink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856424">
        <w:rPr>
          <w:rFonts w:eastAsiaTheme="minorHAnsi"/>
          <w:lang w:eastAsia="en-US"/>
        </w:rPr>
        <w:t>Sofia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University</w:t>
      </w:r>
      <w:proofErr w:type="spellEnd"/>
      <w:r w:rsidRPr="00856424">
        <w:rPr>
          <w:rFonts w:eastAsiaTheme="minorHAnsi"/>
          <w:lang w:eastAsia="en-US"/>
        </w:rPr>
        <w:t xml:space="preserve">. 2021. Софийският университет „Св. Климент Охридски“ стартира нов голям проект по процедурата „Модернизация на висшите училища“.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  </w:t>
      </w:r>
      <w:hyperlink r:id="rId18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https://www.uni-sofia.bg/index.php/novini/novini_i_s_bitiya/sofijskiyat_universitet_sv_kliment_ohridski_startira_nov_golyam_proekt_po_procedurata_modernizaciya_na_visshite_uchilischa</w:t>
        </w:r>
      </w:hyperlink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BICA. 2019. BICA </w:t>
      </w:r>
      <w:proofErr w:type="spellStart"/>
      <w:r w:rsidRPr="00856424">
        <w:rPr>
          <w:rFonts w:eastAsiaTheme="minorHAnsi"/>
          <w:lang w:eastAsia="en-US"/>
        </w:rPr>
        <w:t>and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the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United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Nations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Industrial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Development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Organization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continue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and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expand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their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partnership</w:t>
      </w:r>
      <w:proofErr w:type="spellEnd"/>
      <w:r w:rsidRPr="00856424">
        <w:rPr>
          <w:rFonts w:eastAsiaTheme="minorHAnsi"/>
          <w:lang w:eastAsia="en-US"/>
        </w:rPr>
        <w:t xml:space="preserve">.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  </w:t>
      </w:r>
      <w:hyperlink r:id="rId19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https://bica-</w:t>
        </w:r>
        <w:r w:rsidRPr="00856424">
          <w:rPr>
            <w:rFonts w:eastAsiaTheme="minorHAnsi"/>
            <w:color w:val="0000FF" w:themeColor="hyperlink"/>
            <w:u w:val="single"/>
            <w:lang w:eastAsia="en-US"/>
          </w:rPr>
          <w:lastRenderedPageBreak/>
          <w:t>bg.org/bica-and-the-united-nations-industrial-development-organization-continue-and-expand-their-partnership/?lang=en</w:t>
        </w:r>
      </w:hyperlink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CEIB. Кирил Домусчиев откри Форум за облачни технологии, организиран от КРИБ, VIVACOM и Huawei.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  </w:t>
      </w:r>
      <w:hyperlink r:id="rId20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https://krib.bg/bg/news/Kiril-Domuschiev-otkri-Forum-za-oblachni-tehnologii-organiziran-ot-KRIB-VIVACOM-i-Huawei/</w:t>
        </w:r>
      </w:hyperlink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UPEE. 2021. </w:t>
      </w:r>
      <w:proofErr w:type="spellStart"/>
      <w:r w:rsidRPr="00856424">
        <w:rPr>
          <w:rFonts w:eastAsiaTheme="minorHAnsi"/>
          <w:lang w:eastAsia="en-US"/>
        </w:rPr>
        <w:t>Луиджи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Ребуфи</w:t>
      </w:r>
      <w:proofErr w:type="spellEnd"/>
      <w:r w:rsidRPr="00856424">
        <w:rPr>
          <w:rFonts w:eastAsiaTheme="minorHAnsi"/>
          <w:lang w:eastAsia="en-US"/>
        </w:rPr>
        <w:t xml:space="preserve">, Генерален секретар на Европейската организация по </w:t>
      </w:r>
      <w:proofErr w:type="spellStart"/>
      <w:r w:rsidRPr="00856424">
        <w:rPr>
          <w:rFonts w:eastAsiaTheme="minorHAnsi"/>
          <w:lang w:eastAsia="en-US"/>
        </w:rPr>
        <w:t>киберсигурност</w:t>
      </w:r>
      <w:proofErr w:type="spellEnd"/>
      <w:r w:rsidRPr="00856424">
        <w:rPr>
          <w:rFonts w:eastAsiaTheme="minorHAnsi"/>
          <w:lang w:eastAsia="en-US"/>
        </w:rPr>
        <w:t xml:space="preserve">, за дигитализацията и нейните перспективи пред студенти и политици. 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</w:t>
      </w:r>
      <w:hyperlink r:id="rId21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https://ssibg.org/%D0%BB%D1%83%D0%B8%D0%B4%D0%B6%D0%B8-%D1%80%D0%B5%D0%B1%D1%83%D1%84%D0%B8-%D0%B3%D0%B5%D0%BD%D0%B5%D1%80%D0%B0%D0%BB%D0%B5%D0%BD-%D1%81%D0%B5%D0%BA%D1%80%D0%B5%D1%82%D0%B0%D1%80-%D0%BD%D0%B0-%D0%B5/</w:t>
        </w:r>
      </w:hyperlink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proofErr w:type="spellStart"/>
      <w:r w:rsidRPr="00856424">
        <w:rPr>
          <w:rFonts w:eastAsiaTheme="minorHAnsi"/>
          <w:lang w:eastAsia="en-US"/>
        </w:rPr>
        <w:t>McKinsey</w:t>
      </w:r>
      <w:proofErr w:type="spellEnd"/>
      <w:r w:rsidRPr="00856424">
        <w:rPr>
          <w:rFonts w:eastAsiaTheme="minorHAnsi"/>
          <w:lang w:eastAsia="en-US"/>
        </w:rPr>
        <w:t xml:space="preserve">. </w:t>
      </w:r>
      <w:proofErr w:type="spellStart"/>
      <w:r w:rsidRPr="00856424">
        <w:rPr>
          <w:rFonts w:eastAsiaTheme="minorHAnsi"/>
          <w:lang w:eastAsia="en-US"/>
        </w:rPr>
        <w:t>The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rise</w:t>
      </w:r>
      <w:proofErr w:type="spellEnd"/>
      <w:r w:rsidRPr="00856424">
        <w:rPr>
          <w:rFonts w:eastAsiaTheme="minorHAnsi"/>
          <w:lang w:eastAsia="en-US"/>
        </w:rPr>
        <w:t xml:space="preserve"> of </w:t>
      </w:r>
      <w:proofErr w:type="spellStart"/>
      <w:r w:rsidRPr="00856424">
        <w:rPr>
          <w:rFonts w:eastAsiaTheme="minorHAnsi"/>
          <w:lang w:eastAsia="en-US"/>
        </w:rPr>
        <w:t>digital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challengers</w:t>
      </w:r>
      <w:proofErr w:type="spellEnd"/>
      <w:r w:rsidRPr="00856424">
        <w:rPr>
          <w:rFonts w:eastAsiaTheme="minorHAnsi"/>
          <w:lang w:eastAsia="en-US"/>
        </w:rPr>
        <w:t xml:space="preserve">. </w:t>
      </w:r>
      <w:proofErr w:type="spellStart"/>
      <w:r w:rsidRPr="00856424">
        <w:rPr>
          <w:rFonts w:eastAsiaTheme="minorHAnsi"/>
          <w:lang w:eastAsia="en-US"/>
        </w:rPr>
        <w:t>Report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insights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presentation</w:t>
      </w:r>
      <w:proofErr w:type="spellEnd"/>
      <w:r w:rsidRPr="00856424">
        <w:rPr>
          <w:rFonts w:eastAsiaTheme="minorHAnsi"/>
          <w:lang w:eastAsia="en-US"/>
        </w:rPr>
        <w:t xml:space="preserve">- a </w:t>
      </w:r>
      <w:proofErr w:type="spellStart"/>
      <w:r w:rsidRPr="00856424">
        <w:rPr>
          <w:rFonts w:eastAsiaTheme="minorHAnsi"/>
          <w:lang w:eastAsia="en-US"/>
        </w:rPr>
        <w:t>perspective</w:t>
      </w:r>
      <w:proofErr w:type="spellEnd"/>
      <w:r w:rsidRPr="00856424">
        <w:rPr>
          <w:rFonts w:eastAsiaTheme="minorHAnsi"/>
          <w:lang w:eastAsia="en-US"/>
        </w:rPr>
        <w:t xml:space="preserve"> of </w:t>
      </w:r>
      <w:proofErr w:type="spellStart"/>
      <w:r w:rsidRPr="00856424">
        <w:rPr>
          <w:rFonts w:eastAsiaTheme="minorHAnsi"/>
          <w:lang w:eastAsia="en-US"/>
        </w:rPr>
        <w:t>Bulgaria</w:t>
      </w:r>
      <w:proofErr w:type="spellEnd"/>
      <w:r w:rsidRPr="00856424">
        <w:rPr>
          <w:rFonts w:eastAsiaTheme="minorHAnsi"/>
          <w:lang w:eastAsia="en-US"/>
        </w:rPr>
        <w:t xml:space="preserve">.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</w:t>
      </w:r>
      <w:hyperlink r:id="rId22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https://digitalchallengers.mckinsey.com/files/McKinsey_Digital%20Challengers_Perspective_on_Bulgaria_online.pdf</w:t>
        </w:r>
      </w:hyperlink>
    </w:p>
    <w:p w:rsidR="006653B7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EDIT.BG. 2019. </w:t>
      </w:r>
      <w:proofErr w:type="spellStart"/>
      <w:r w:rsidRPr="00856424">
        <w:rPr>
          <w:rFonts w:eastAsiaTheme="minorHAnsi"/>
          <w:lang w:eastAsia="en-US"/>
        </w:rPr>
        <w:t>InnovationShip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Bulgaria</w:t>
      </w:r>
      <w:proofErr w:type="spellEnd"/>
      <w:r w:rsidRPr="00856424">
        <w:rPr>
          <w:rFonts w:eastAsiaTheme="minorHAnsi"/>
          <w:lang w:eastAsia="en-US"/>
        </w:rPr>
        <w:t xml:space="preserve">. </w:t>
      </w:r>
      <w:proofErr w:type="spellStart"/>
      <w:r w:rsidRPr="00856424">
        <w:rPr>
          <w:rFonts w:eastAsiaTheme="minorHAnsi"/>
          <w:lang w:eastAsia="en-US"/>
        </w:rPr>
        <w:t>Digital</w:t>
      </w:r>
      <w:proofErr w:type="spellEnd"/>
      <w:r w:rsidRPr="00856424">
        <w:rPr>
          <w:rFonts w:eastAsiaTheme="minorHAnsi"/>
          <w:lang w:eastAsia="en-US"/>
        </w:rPr>
        <w:t xml:space="preserve"> 2019.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</w:t>
      </w:r>
      <w:hyperlink r:id="rId23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http://edit.bg/wp-content/uploads/2019/12/innovationship-2019-en-pdf-web.pdf</w:t>
        </w:r>
      </w:hyperlink>
    </w:p>
    <w:p w:rsidR="00320C48" w:rsidRPr="00856424" w:rsidRDefault="00043630" w:rsidP="00B334C5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HAnsi"/>
          <w:lang w:eastAsia="en-US"/>
        </w:rPr>
      </w:pPr>
      <w:r w:rsidRPr="00856424">
        <w:rPr>
          <w:rFonts w:eastAsiaTheme="minorHAnsi"/>
          <w:lang w:eastAsia="en-US"/>
        </w:rPr>
        <w:t xml:space="preserve">BASSCOM. 2020. </w:t>
      </w:r>
      <w:proofErr w:type="spellStart"/>
      <w:r w:rsidRPr="00856424">
        <w:rPr>
          <w:rFonts w:eastAsiaTheme="minorHAnsi"/>
          <w:lang w:eastAsia="en-US"/>
        </w:rPr>
        <w:t>Баском</w:t>
      </w:r>
      <w:proofErr w:type="spellEnd"/>
      <w:r w:rsidRPr="00856424">
        <w:rPr>
          <w:rFonts w:eastAsiaTheme="minorHAnsi"/>
          <w:lang w:eastAsia="en-US"/>
        </w:rPr>
        <w:t xml:space="preserve"> Барометър 2020.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E-resource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available</w:t>
      </w:r>
      <w:proofErr w:type="spellEnd"/>
      <w:r w:rsidRPr="00856424">
        <w:rPr>
          <w:rFonts w:eastAsiaTheme="minorHAnsi"/>
          <w:lang w:eastAsia="en-US"/>
        </w:rPr>
        <w:t xml:space="preserve"> </w:t>
      </w:r>
      <w:proofErr w:type="spellStart"/>
      <w:r w:rsidRPr="00856424">
        <w:rPr>
          <w:rFonts w:eastAsiaTheme="minorHAnsi"/>
          <w:lang w:eastAsia="en-US"/>
        </w:rPr>
        <w:t>at</w:t>
      </w:r>
      <w:proofErr w:type="spellEnd"/>
      <w:r w:rsidRPr="00856424">
        <w:rPr>
          <w:rFonts w:eastAsiaTheme="minorHAnsi"/>
          <w:lang w:eastAsia="en-US"/>
        </w:rPr>
        <w:t xml:space="preserve">: </w:t>
      </w:r>
      <w:hyperlink r:id="rId24" w:history="1">
        <w:r w:rsidRPr="00856424">
          <w:rPr>
            <w:rFonts w:eastAsiaTheme="minorHAnsi"/>
            <w:color w:val="0000FF" w:themeColor="hyperlink"/>
            <w:u w:val="single"/>
            <w:lang w:eastAsia="en-US"/>
          </w:rPr>
          <w:t>https://www.basscom.org/RapidASPEditor/MyUploadDocs/BASSCOM_Barometer_2020_BG_.pdf</w:t>
        </w:r>
      </w:hyperlink>
    </w:p>
    <w:p w:rsidR="00320C48" w:rsidRPr="00856424" w:rsidRDefault="00320C48" w:rsidP="00B334C5">
      <w:pPr>
        <w:spacing w:line="360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320C48" w:rsidRPr="00856424" w:rsidRDefault="00320C48" w:rsidP="00B334C5">
      <w:pPr>
        <w:spacing w:line="360" w:lineRule="auto"/>
        <w:jc w:val="both"/>
        <w:rPr>
          <w:rFonts w:eastAsiaTheme="minorHAnsi"/>
          <w:lang w:eastAsia="en-US"/>
        </w:rPr>
      </w:pPr>
    </w:p>
    <w:p w:rsidR="00320C48" w:rsidRPr="00856424" w:rsidRDefault="00320C48" w:rsidP="00B334C5"/>
    <w:sectPr w:rsidR="00320C48" w:rsidRPr="00856424" w:rsidSect="003029BE">
      <w:footerReference w:type="default" r:id="rId25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255" w:rsidRDefault="005D1255">
      <w:r>
        <w:separator/>
      </w:r>
    </w:p>
  </w:endnote>
  <w:endnote w:type="continuationSeparator" w:id="0">
    <w:p w:rsidR="005D1255" w:rsidRDefault="005D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593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7FD" w:rsidRDefault="004F44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ED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D47FD" w:rsidRDefault="00DD47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255" w:rsidRDefault="005D1255" w:rsidP="00320C48">
      <w:r>
        <w:separator/>
      </w:r>
    </w:p>
  </w:footnote>
  <w:footnote w:type="continuationSeparator" w:id="0">
    <w:p w:rsidR="005D1255" w:rsidRDefault="005D1255" w:rsidP="00320C48">
      <w:r>
        <w:continuationSeparator/>
      </w:r>
    </w:p>
  </w:footnote>
  <w:footnote w:id="1">
    <w:p w:rsidR="00DD47FD" w:rsidRPr="00320C48" w:rsidRDefault="00DD47FD" w:rsidP="00FF2F70">
      <w:pPr>
        <w:pStyle w:val="FootnoteText"/>
        <w:rPr>
          <w:rFonts w:ascii="Times New Roman" w:hAnsi="Times New Roman" w:cs="Times New Roman"/>
        </w:rPr>
      </w:pPr>
      <w:r w:rsidRPr="00320C48">
        <w:rPr>
          <w:rStyle w:val="FootnoteReference"/>
          <w:rFonts w:ascii="Times New Roman" w:hAnsi="Times New Roman" w:cs="Times New Roman"/>
        </w:rPr>
        <w:footnoteRef/>
      </w:r>
      <w:r w:rsidRPr="004A4163">
        <w:rPr>
          <w:rFonts w:ascii="Times New Roman" w:hAnsi="Times New Roman" w:cs="Times New Roman"/>
          <w:lang w:val="bg-BG" w:bidi="en-US"/>
        </w:rPr>
        <w:t xml:space="preserve">Като източници в тази глава са използвани данни на Националният статистически институт на Р България и </w:t>
      </w:r>
      <w:proofErr w:type="spellStart"/>
      <w:r w:rsidRPr="004A4163">
        <w:rPr>
          <w:rFonts w:ascii="Times New Roman" w:hAnsi="Times New Roman" w:cs="Times New Roman"/>
          <w:lang w:val="bg-BG" w:bidi="en-US"/>
        </w:rPr>
        <w:t>Евростат</w:t>
      </w:r>
      <w:proofErr w:type="spellEnd"/>
      <w:r w:rsidRPr="004A4163">
        <w:rPr>
          <w:rFonts w:ascii="Times New Roman" w:hAnsi="Times New Roman" w:cs="Times New Roman"/>
          <w:lang w:val="bg-BG" w:bidi="en-US"/>
        </w:rPr>
        <w:t>.</w:t>
      </w:r>
    </w:p>
  </w:footnote>
  <w:footnote w:id="2">
    <w:p w:rsidR="00DD47FD" w:rsidRPr="00D364A5" w:rsidRDefault="00DD47FD" w:rsidP="00293153">
      <w:pPr>
        <w:pStyle w:val="FootnoteText"/>
        <w:jc w:val="both"/>
        <w:rPr>
          <w:rFonts w:ascii="Times New Roman" w:hAnsi="Times New Roman" w:cs="Times New Roman"/>
          <w:lang w:val="bg-BG"/>
        </w:rPr>
      </w:pPr>
      <w:r w:rsidRPr="00241768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10-49 </w:t>
      </w:r>
      <w:proofErr w:type="spellStart"/>
      <w:r>
        <w:rPr>
          <w:rFonts w:ascii="Times New Roman" w:hAnsi="Times New Roman" w:cs="Times New Roman"/>
        </w:rPr>
        <w:t>заети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</w:p>
  </w:footnote>
  <w:footnote w:id="3">
    <w:p w:rsidR="00DD47FD" w:rsidRPr="00413C35" w:rsidRDefault="00DD47FD" w:rsidP="00293153">
      <w:pPr>
        <w:pStyle w:val="FootnoteText"/>
        <w:jc w:val="both"/>
        <w:rPr>
          <w:rFonts w:ascii="Times New Roman" w:hAnsi="Times New Roman" w:cs="Times New Roman"/>
          <w:lang w:val="bg-BG"/>
        </w:rPr>
      </w:pPr>
      <w:r w:rsidRPr="00413C35">
        <w:rPr>
          <w:rStyle w:val="FootnoteReference"/>
          <w:rFonts w:ascii="Times New Roman" w:hAnsi="Times New Roman" w:cs="Times New Roman"/>
          <w:lang w:val="bg-BG"/>
        </w:rPr>
        <w:footnoteRef/>
      </w:r>
      <w:r w:rsidR="002A3790">
        <w:rPr>
          <w:rFonts w:ascii="Times New Roman" w:hAnsi="Times New Roman" w:cs="Times New Roman"/>
          <w:lang w:val="bg-BG"/>
        </w:rPr>
        <w:t xml:space="preserve"> </w:t>
      </w:r>
      <w:r w:rsidRPr="00413C35">
        <w:rPr>
          <w:rFonts w:ascii="Times New Roman" w:hAnsi="Times New Roman" w:cs="Times New Roman"/>
          <w:lang w:val="bg-BG"/>
        </w:rPr>
        <w:t>Коефициент на заетост на лицата на възраст 15 и повече години.</w:t>
      </w:r>
    </w:p>
  </w:footnote>
  <w:footnote w:id="4">
    <w:p w:rsidR="00DD47FD" w:rsidRPr="0000760E" w:rsidRDefault="00DD47FD" w:rsidP="008A324F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="00B13CDE">
        <w:rPr>
          <w:rFonts w:ascii="Times New Roman" w:hAnsi="Times New Roman" w:cs="Times New Roman"/>
          <w:lang w:val="bg-BG"/>
        </w:rPr>
        <w:t xml:space="preserve"> </w:t>
      </w:r>
      <w:r w:rsidRPr="005D00A3">
        <w:rPr>
          <w:rFonts w:ascii="Times New Roman" w:hAnsi="Times New Roman" w:cs="Times New Roman"/>
        </w:rPr>
        <w:t>http</w:t>
      </w:r>
      <w:r w:rsidRPr="0000760E">
        <w:rPr>
          <w:rFonts w:ascii="Times New Roman" w:hAnsi="Times New Roman" w:cs="Times New Roman"/>
          <w:lang w:val="bg-BG"/>
        </w:rPr>
        <w:t>://</w:t>
      </w:r>
      <w:proofErr w:type="spellStart"/>
      <w:r w:rsidRPr="005D00A3">
        <w:rPr>
          <w:rFonts w:ascii="Times New Roman" w:hAnsi="Times New Roman" w:cs="Times New Roman"/>
        </w:rPr>
        <w:t>erc</w:t>
      </w:r>
      <w:proofErr w:type="spellEnd"/>
      <w:r w:rsidRPr="0000760E">
        <w:rPr>
          <w:rFonts w:ascii="Times New Roman" w:hAnsi="Times New Roman" w:cs="Times New Roman"/>
          <w:lang w:val="bg-BG"/>
        </w:rPr>
        <w:t>-</w:t>
      </w:r>
      <w:r w:rsidRPr="005D00A3">
        <w:rPr>
          <w:rFonts w:ascii="Times New Roman" w:hAnsi="Times New Roman" w:cs="Times New Roman"/>
        </w:rPr>
        <w:t>online</w:t>
      </w:r>
      <w:r w:rsidRPr="0000760E">
        <w:rPr>
          <w:rFonts w:ascii="Times New Roman" w:hAnsi="Times New Roman" w:cs="Times New Roman"/>
          <w:lang w:val="bg-BG"/>
        </w:rPr>
        <w:t>.</w:t>
      </w:r>
      <w:proofErr w:type="spellStart"/>
      <w:r w:rsidRPr="005D00A3">
        <w:rPr>
          <w:rFonts w:ascii="Times New Roman" w:hAnsi="Times New Roman" w:cs="Times New Roman"/>
        </w:rPr>
        <w:t>eu</w:t>
      </w:r>
      <w:proofErr w:type="spellEnd"/>
      <w:r w:rsidRPr="0000760E">
        <w:rPr>
          <w:rFonts w:ascii="Times New Roman" w:hAnsi="Times New Roman" w:cs="Times New Roman"/>
          <w:lang w:val="bg-BG"/>
        </w:rPr>
        <w:t>/</w:t>
      </w:r>
      <w:proofErr w:type="spellStart"/>
      <w:r w:rsidRPr="005D00A3">
        <w:rPr>
          <w:rFonts w:ascii="Times New Roman" w:hAnsi="Times New Roman" w:cs="Times New Roman"/>
        </w:rPr>
        <w:t>european</w:t>
      </w:r>
      <w:proofErr w:type="spellEnd"/>
      <w:r w:rsidRPr="0000760E">
        <w:rPr>
          <w:rFonts w:ascii="Times New Roman" w:hAnsi="Times New Roman" w:cs="Times New Roman"/>
          <w:lang w:val="bg-BG"/>
        </w:rPr>
        <w:t>-</w:t>
      </w:r>
      <w:r w:rsidRPr="005D00A3">
        <w:rPr>
          <w:rFonts w:ascii="Times New Roman" w:hAnsi="Times New Roman" w:cs="Times New Roman"/>
        </w:rPr>
        <w:t>social</w:t>
      </w:r>
      <w:r w:rsidRPr="0000760E">
        <w:rPr>
          <w:rFonts w:ascii="Times New Roman" w:hAnsi="Times New Roman" w:cs="Times New Roman"/>
          <w:lang w:val="bg-BG"/>
        </w:rPr>
        <w:t>-</w:t>
      </w:r>
      <w:r w:rsidRPr="005D00A3">
        <w:rPr>
          <w:rFonts w:ascii="Times New Roman" w:hAnsi="Times New Roman" w:cs="Times New Roman"/>
        </w:rPr>
        <w:t>dialogue</w:t>
      </w:r>
      <w:r w:rsidRPr="0000760E">
        <w:rPr>
          <w:rFonts w:ascii="Times New Roman" w:hAnsi="Times New Roman" w:cs="Times New Roman"/>
          <w:lang w:val="bg-BG"/>
        </w:rPr>
        <w:t>/</w:t>
      </w:r>
      <w:r w:rsidRPr="005D00A3">
        <w:rPr>
          <w:rFonts w:ascii="Times New Roman" w:hAnsi="Times New Roman" w:cs="Times New Roman"/>
        </w:rPr>
        <w:t>database</w:t>
      </w:r>
      <w:r w:rsidRPr="0000760E">
        <w:rPr>
          <w:rFonts w:ascii="Times New Roman" w:hAnsi="Times New Roman" w:cs="Times New Roman"/>
          <w:lang w:val="bg-BG"/>
        </w:rPr>
        <w:t>-</w:t>
      </w:r>
      <w:proofErr w:type="spellStart"/>
      <w:r w:rsidRPr="005D00A3">
        <w:rPr>
          <w:rFonts w:ascii="Times New Roman" w:hAnsi="Times New Roman" w:cs="Times New Roman"/>
        </w:rPr>
        <w:t>european</w:t>
      </w:r>
      <w:proofErr w:type="spellEnd"/>
      <w:r w:rsidRPr="0000760E">
        <w:rPr>
          <w:rFonts w:ascii="Times New Roman" w:hAnsi="Times New Roman" w:cs="Times New Roman"/>
          <w:lang w:val="bg-BG"/>
        </w:rPr>
        <w:t>-</w:t>
      </w:r>
      <w:r w:rsidRPr="005D00A3">
        <w:rPr>
          <w:rFonts w:ascii="Times New Roman" w:hAnsi="Times New Roman" w:cs="Times New Roman"/>
        </w:rPr>
        <w:t>social</w:t>
      </w:r>
      <w:r w:rsidRPr="0000760E">
        <w:rPr>
          <w:rFonts w:ascii="Times New Roman" w:hAnsi="Times New Roman" w:cs="Times New Roman"/>
          <w:lang w:val="bg-BG"/>
        </w:rPr>
        <w:t>-</w:t>
      </w:r>
      <w:r w:rsidRPr="005D00A3">
        <w:rPr>
          <w:rFonts w:ascii="Times New Roman" w:hAnsi="Times New Roman" w:cs="Times New Roman"/>
        </w:rPr>
        <w:t>dialogue</w:t>
      </w:r>
      <w:r w:rsidRPr="0000760E">
        <w:rPr>
          <w:rFonts w:ascii="Times New Roman" w:hAnsi="Times New Roman" w:cs="Times New Roman"/>
          <w:lang w:val="bg-BG"/>
        </w:rPr>
        <w:t>-</w:t>
      </w:r>
      <w:r w:rsidRPr="005D00A3">
        <w:rPr>
          <w:rFonts w:ascii="Times New Roman" w:hAnsi="Times New Roman" w:cs="Times New Roman"/>
        </w:rPr>
        <w:t>texts</w:t>
      </w:r>
      <w:r w:rsidRPr="0000760E">
        <w:rPr>
          <w:rFonts w:ascii="Times New Roman" w:hAnsi="Times New Roman" w:cs="Times New Roman"/>
          <w:lang w:val="bg-BG"/>
        </w:rPr>
        <w:t>/</w:t>
      </w:r>
    </w:p>
  </w:footnote>
  <w:footnote w:id="5">
    <w:p w:rsidR="00DD47FD" w:rsidRPr="0000760E" w:rsidRDefault="00DD47FD" w:rsidP="008A324F">
      <w:pPr>
        <w:pStyle w:val="FootnoteText"/>
        <w:rPr>
          <w:lang w:val="bg-BG"/>
        </w:rPr>
      </w:pPr>
      <w:r w:rsidRPr="005D00A3">
        <w:rPr>
          <w:rStyle w:val="FootnoteReference"/>
        </w:rPr>
        <w:footnoteRef/>
      </w:r>
      <w:r w:rsidR="00B13CDE">
        <w:rPr>
          <w:rFonts w:ascii="Times New Roman" w:hAnsi="Times New Roman" w:cs="Times New Roman"/>
          <w:lang w:val="bg-BG"/>
        </w:rPr>
        <w:t xml:space="preserve"> </w:t>
      </w:r>
      <w:r w:rsidRPr="005D00A3">
        <w:rPr>
          <w:rFonts w:ascii="Times New Roman" w:hAnsi="Times New Roman" w:cs="Times New Roman"/>
        </w:rPr>
        <w:t>https</w:t>
      </w:r>
      <w:r w:rsidRPr="0000760E">
        <w:rPr>
          <w:rFonts w:ascii="Times New Roman" w:hAnsi="Times New Roman" w:cs="Times New Roman"/>
          <w:lang w:val="bg-BG"/>
        </w:rPr>
        <w:t>://</w:t>
      </w:r>
      <w:proofErr w:type="spellStart"/>
      <w:r w:rsidRPr="005D00A3">
        <w:rPr>
          <w:rFonts w:ascii="Times New Roman" w:hAnsi="Times New Roman" w:cs="Times New Roman"/>
        </w:rPr>
        <w:t>appsso</w:t>
      </w:r>
      <w:proofErr w:type="spellEnd"/>
      <w:r w:rsidRPr="0000760E">
        <w:rPr>
          <w:rFonts w:ascii="Times New Roman" w:hAnsi="Times New Roman" w:cs="Times New Roman"/>
          <w:lang w:val="bg-BG"/>
        </w:rPr>
        <w:t>.</w:t>
      </w:r>
      <w:proofErr w:type="spellStart"/>
      <w:r w:rsidRPr="005D00A3">
        <w:rPr>
          <w:rFonts w:ascii="Times New Roman" w:hAnsi="Times New Roman" w:cs="Times New Roman"/>
        </w:rPr>
        <w:t>eurostat</w:t>
      </w:r>
      <w:proofErr w:type="spellEnd"/>
      <w:r w:rsidRPr="0000760E">
        <w:rPr>
          <w:rFonts w:ascii="Times New Roman" w:hAnsi="Times New Roman" w:cs="Times New Roman"/>
          <w:lang w:val="bg-BG"/>
        </w:rPr>
        <w:t>.</w:t>
      </w:r>
      <w:proofErr w:type="spellStart"/>
      <w:r w:rsidRPr="005D00A3">
        <w:rPr>
          <w:rFonts w:ascii="Times New Roman" w:hAnsi="Times New Roman" w:cs="Times New Roman"/>
        </w:rPr>
        <w:t>ec</w:t>
      </w:r>
      <w:proofErr w:type="spellEnd"/>
      <w:r w:rsidRPr="0000760E">
        <w:rPr>
          <w:rFonts w:ascii="Times New Roman" w:hAnsi="Times New Roman" w:cs="Times New Roman"/>
          <w:lang w:val="bg-BG"/>
        </w:rPr>
        <w:t>.</w:t>
      </w:r>
      <w:proofErr w:type="spellStart"/>
      <w:r w:rsidRPr="005D00A3">
        <w:rPr>
          <w:rFonts w:ascii="Times New Roman" w:hAnsi="Times New Roman" w:cs="Times New Roman"/>
        </w:rPr>
        <w:t>europa</w:t>
      </w:r>
      <w:proofErr w:type="spellEnd"/>
      <w:r w:rsidRPr="0000760E">
        <w:rPr>
          <w:rFonts w:ascii="Times New Roman" w:hAnsi="Times New Roman" w:cs="Times New Roman"/>
          <w:lang w:val="bg-BG"/>
        </w:rPr>
        <w:t>.</w:t>
      </w:r>
      <w:proofErr w:type="spellStart"/>
      <w:r w:rsidRPr="005D00A3">
        <w:rPr>
          <w:rFonts w:ascii="Times New Roman" w:hAnsi="Times New Roman" w:cs="Times New Roman"/>
        </w:rPr>
        <w:t>eu</w:t>
      </w:r>
      <w:proofErr w:type="spellEnd"/>
      <w:r w:rsidRPr="0000760E">
        <w:rPr>
          <w:rFonts w:ascii="Times New Roman" w:hAnsi="Times New Roman" w:cs="Times New Roman"/>
          <w:lang w:val="bg-BG"/>
        </w:rPr>
        <w:t>/</w:t>
      </w:r>
      <w:proofErr w:type="spellStart"/>
      <w:r w:rsidRPr="005D00A3">
        <w:rPr>
          <w:rFonts w:ascii="Times New Roman" w:hAnsi="Times New Roman" w:cs="Times New Roman"/>
        </w:rPr>
        <w:t>nui</w:t>
      </w:r>
      <w:proofErr w:type="spellEnd"/>
      <w:r w:rsidRPr="0000760E">
        <w:rPr>
          <w:rFonts w:ascii="Times New Roman" w:hAnsi="Times New Roman" w:cs="Times New Roman"/>
          <w:lang w:val="bg-BG"/>
        </w:rPr>
        <w:t>/</w:t>
      </w:r>
      <w:proofErr w:type="spellStart"/>
      <w:r w:rsidRPr="005D00A3">
        <w:rPr>
          <w:rFonts w:ascii="Times New Roman" w:hAnsi="Times New Roman" w:cs="Times New Roman"/>
        </w:rPr>
        <w:t>submitViewTableAction</w:t>
      </w:r>
      <w:proofErr w:type="spellEnd"/>
      <w:r w:rsidRPr="0000760E">
        <w:rPr>
          <w:rFonts w:ascii="Times New Roman" w:hAnsi="Times New Roman" w:cs="Times New Roman"/>
          <w:lang w:val="bg-BG"/>
        </w:rPr>
        <w:t>.</w:t>
      </w:r>
      <w:r w:rsidRPr="005D00A3">
        <w:rPr>
          <w:rFonts w:ascii="Times New Roman" w:hAnsi="Times New Roman" w:cs="Times New Roman"/>
        </w:rPr>
        <w:t>do</w:t>
      </w:r>
    </w:p>
  </w:footnote>
  <w:footnote w:id="6">
    <w:p w:rsidR="00DD47FD" w:rsidRPr="005D00A3" w:rsidRDefault="00DD47FD" w:rsidP="00293395">
      <w:pPr>
        <w:pStyle w:val="FootnoteText"/>
        <w:rPr>
          <w:lang w:val="bg-BG"/>
        </w:rPr>
      </w:pPr>
      <w:r w:rsidRPr="005D00A3">
        <w:rPr>
          <w:rStyle w:val="FootnoteReference"/>
        </w:rPr>
        <w:footnoteRef/>
      </w:r>
      <w:r w:rsidR="00B13CDE">
        <w:rPr>
          <w:rFonts w:ascii="Times New Roman" w:hAnsi="Times New Roman" w:cs="Times New Roman"/>
          <w:lang w:val="bg-BG"/>
        </w:rPr>
        <w:t xml:space="preserve"> </w:t>
      </w:r>
      <w:r w:rsidRPr="005D00A3">
        <w:rPr>
          <w:rFonts w:ascii="Times New Roman" w:hAnsi="Times New Roman" w:cs="Times New Roman"/>
          <w:lang w:val="bg-BG"/>
        </w:rPr>
        <w:t>Икономическият и социален съвет на Република България се състои от три групи - Група 1 Работодатели, Група 2 Работници и служители, Група 3 - Различни интереси.</w:t>
      </w:r>
    </w:p>
  </w:footnote>
  <w:footnote w:id="7">
    <w:p w:rsidR="00D53A0A" w:rsidRPr="0000760E" w:rsidRDefault="00D53A0A" w:rsidP="00D53A0A">
      <w:pPr>
        <w:pStyle w:val="FootnoteText"/>
        <w:spacing w:line="360" w:lineRule="auto"/>
        <w:jc w:val="both"/>
        <w:rPr>
          <w:lang w:val="bg-BG"/>
        </w:rPr>
      </w:pPr>
      <w:r w:rsidRPr="00160C13">
        <w:rPr>
          <w:rStyle w:val="FootnoteReference"/>
        </w:rPr>
        <w:footnoteRef/>
      </w:r>
      <w:hyperlink r:id="rId1" w:history="1">
        <w:r w:rsidRPr="00160C13">
          <w:rPr>
            <w:rStyle w:val="Hyperlink"/>
            <w:color w:val="auto"/>
          </w:rPr>
          <w:t>https</w:t>
        </w:r>
        <w:r w:rsidRPr="00160C13">
          <w:rPr>
            <w:rStyle w:val="Hyperlink"/>
            <w:color w:val="auto"/>
            <w:lang w:val="bg-BG"/>
          </w:rPr>
          <w:t>://</w:t>
        </w:r>
        <w:r w:rsidRPr="00160C13">
          <w:rPr>
            <w:rStyle w:val="Hyperlink"/>
            <w:color w:val="auto"/>
          </w:rPr>
          <w:t>www</w:t>
        </w:r>
        <w:r w:rsidRPr="00160C13">
          <w:rPr>
            <w:rStyle w:val="Hyperlink"/>
            <w:color w:val="auto"/>
            <w:lang w:val="bg-BG"/>
          </w:rPr>
          <w:t>.</w:t>
        </w:r>
        <w:proofErr w:type="spellStart"/>
        <w:r w:rsidRPr="00160C13">
          <w:rPr>
            <w:rStyle w:val="Hyperlink"/>
            <w:color w:val="auto"/>
          </w:rPr>
          <w:t>nsi</w:t>
        </w:r>
        <w:proofErr w:type="spellEnd"/>
        <w:r w:rsidRPr="00160C13">
          <w:rPr>
            <w:rStyle w:val="Hyperlink"/>
            <w:color w:val="auto"/>
            <w:lang w:val="bg-BG"/>
          </w:rPr>
          <w:t>.</w:t>
        </w:r>
        <w:proofErr w:type="spellStart"/>
        <w:r w:rsidRPr="00160C13">
          <w:rPr>
            <w:rStyle w:val="Hyperlink"/>
            <w:color w:val="auto"/>
          </w:rPr>
          <w:t>bg</w:t>
        </w:r>
        <w:proofErr w:type="spellEnd"/>
        <w:r w:rsidRPr="00160C13">
          <w:rPr>
            <w:rStyle w:val="Hyperlink"/>
            <w:color w:val="auto"/>
            <w:lang w:val="bg-BG"/>
          </w:rPr>
          <w:t>/</w:t>
        </w:r>
        <w:proofErr w:type="spellStart"/>
        <w:r w:rsidRPr="00160C13">
          <w:rPr>
            <w:rStyle w:val="Hyperlink"/>
            <w:color w:val="auto"/>
          </w:rPr>
          <w:t>bg</w:t>
        </w:r>
        <w:proofErr w:type="spellEnd"/>
        <w:r w:rsidRPr="00160C13">
          <w:rPr>
            <w:rStyle w:val="Hyperlink"/>
            <w:color w:val="auto"/>
            <w:lang w:val="bg-BG"/>
          </w:rPr>
          <w:t>/</w:t>
        </w:r>
        <w:r w:rsidRPr="00160C13">
          <w:rPr>
            <w:rStyle w:val="Hyperlink"/>
            <w:color w:val="auto"/>
          </w:rPr>
          <w:t>content</w:t>
        </w:r>
        <w:r w:rsidRPr="00160C13">
          <w:rPr>
            <w:rStyle w:val="Hyperlink"/>
            <w:color w:val="auto"/>
            <w:lang w:val="bg-BG"/>
          </w:rPr>
          <w:t>/18665/%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BF</w:t>
        </w:r>
        <w:r w:rsidRPr="00160C13">
          <w:rPr>
            <w:rStyle w:val="Hyperlink"/>
            <w:color w:val="auto"/>
            <w:lang w:val="bg-BG"/>
          </w:rPr>
          <w:t>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1%83%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</w:t>
        </w:r>
        <w:r w:rsidRPr="00160C13">
          <w:rPr>
            <w:rStyle w:val="Hyperlink"/>
            <w:color w:val="auto"/>
            <w:lang w:val="bg-BG"/>
          </w:rPr>
          <w:t>1%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BB</w:t>
        </w:r>
        <w:r w:rsidRPr="00160C13">
          <w:rPr>
            <w:rStyle w:val="Hyperlink"/>
            <w:color w:val="auto"/>
            <w:lang w:val="bg-BG"/>
          </w:rPr>
          <w:t>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</w:t>
        </w:r>
        <w:r w:rsidRPr="00160C13">
          <w:rPr>
            <w:rStyle w:val="Hyperlink"/>
            <w:color w:val="auto"/>
            <w:lang w:val="bg-BG"/>
          </w:rPr>
          <w:t>8%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BA</w:t>
        </w:r>
        <w:r w:rsidRPr="00160C13">
          <w:rPr>
            <w:rStyle w:val="Hyperlink"/>
            <w:color w:val="auto"/>
            <w:lang w:val="bg-BG"/>
          </w:rPr>
          <w:t>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1%86%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</w:t>
        </w:r>
        <w:r w:rsidRPr="00160C13">
          <w:rPr>
            <w:rStyle w:val="Hyperlink"/>
            <w:color w:val="auto"/>
            <w:lang w:val="bg-BG"/>
          </w:rPr>
          <w:t>8%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1%8</w:t>
        </w:r>
        <w:r w:rsidRPr="00160C13">
          <w:rPr>
            <w:rStyle w:val="Hyperlink"/>
            <w:color w:val="auto"/>
          </w:rPr>
          <w:t>F</w:t>
        </w:r>
        <w:r w:rsidRPr="00160C13">
          <w:rPr>
            <w:rStyle w:val="Hyperlink"/>
            <w:color w:val="auto"/>
            <w:lang w:val="bg-BG"/>
          </w:rPr>
          <w:t>/%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1%81%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1%82%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1%80%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1%83%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BA</w:t>
        </w:r>
        <w:r w:rsidRPr="00160C13">
          <w:rPr>
            <w:rStyle w:val="Hyperlink"/>
            <w:color w:val="auto"/>
            <w:lang w:val="bg-BG"/>
          </w:rPr>
          <w:t>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1%82%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1%83%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1%80%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</w:t>
        </w:r>
        <w:r w:rsidRPr="00160C13">
          <w:rPr>
            <w:rStyle w:val="Hyperlink"/>
            <w:color w:val="auto"/>
            <w:lang w:val="bg-BG"/>
          </w:rPr>
          <w:t>0-%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BD</w:t>
        </w:r>
        <w:r w:rsidRPr="00160C13">
          <w:rPr>
            <w:rStyle w:val="Hyperlink"/>
            <w:color w:val="auto"/>
            <w:lang w:val="bg-BG"/>
          </w:rPr>
          <w:t>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</w:t>
        </w:r>
        <w:r w:rsidRPr="00160C13">
          <w:rPr>
            <w:rStyle w:val="Hyperlink"/>
            <w:color w:val="auto"/>
            <w:lang w:val="bg-BG"/>
          </w:rPr>
          <w:t>0-%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</w:t>
        </w:r>
        <w:r w:rsidRPr="00160C13">
          <w:rPr>
            <w:rStyle w:val="Hyperlink"/>
            <w:color w:val="auto"/>
            <w:lang w:val="bg-BG"/>
          </w:rPr>
          <w:t>7%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BF</w:t>
        </w:r>
        <w:r w:rsidRPr="00160C13">
          <w:rPr>
            <w:rStyle w:val="Hyperlink"/>
            <w:color w:val="auto"/>
            <w:lang w:val="bg-BG"/>
          </w:rPr>
          <w:t>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BB</w:t>
        </w:r>
        <w:r w:rsidRPr="00160C13">
          <w:rPr>
            <w:rStyle w:val="Hyperlink"/>
            <w:color w:val="auto"/>
            <w:lang w:val="bg-BG"/>
          </w:rPr>
          <w:t>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1%82%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</w:t>
        </w:r>
        <w:r w:rsidRPr="00160C13">
          <w:rPr>
            <w:rStyle w:val="Hyperlink"/>
            <w:color w:val="auto"/>
            <w:lang w:val="bg-BG"/>
          </w:rPr>
          <w:t>8%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1%82%</w:t>
        </w:r>
        <w:r w:rsidRPr="00160C13">
          <w:rPr>
            <w:rStyle w:val="Hyperlink"/>
            <w:color w:val="auto"/>
          </w:rPr>
          <w:t>D</w:t>
        </w:r>
        <w:r w:rsidRPr="00160C13">
          <w:rPr>
            <w:rStyle w:val="Hyperlink"/>
            <w:color w:val="auto"/>
            <w:lang w:val="bg-BG"/>
          </w:rPr>
          <w:t>0%</w:t>
        </w:r>
        <w:r w:rsidRPr="00160C13">
          <w:rPr>
            <w:rStyle w:val="Hyperlink"/>
            <w:color w:val="auto"/>
          </w:rPr>
          <w:t>B</w:t>
        </w:r>
        <w:r w:rsidRPr="00160C13">
          <w:rPr>
            <w:rStyle w:val="Hyperlink"/>
            <w:color w:val="auto"/>
            <w:lang w:val="bg-BG"/>
          </w:rPr>
          <w:t>5-2018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780"/>
    <w:multiLevelType w:val="hybridMultilevel"/>
    <w:tmpl w:val="EC0AD774"/>
    <w:lvl w:ilvl="0" w:tplc="9C6436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82103B78" w:tentative="1">
      <w:start w:val="1"/>
      <w:numFmt w:val="lowerLetter"/>
      <w:lvlText w:val="%2."/>
      <w:lvlJc w:val="left"/>
      <w:pPr>
        <w:ind w:left="1800" w:hanging="360"/>
      </w:pPr>
    </w:lvl>
    <w:lvl w:ilvl="2" w:tplc="F4C83346" w:tentative="1">
      <w:start w:val="1"/>
      <w:numFmt w:val="lowerRoman"/>
      <w:lvlText w:val="%3."/>
      <w:lvlJc w:val="right"/>
      <w:pPr>
        <w:ind w:left="2520" w:hanging="180"/>
      </w:pPr>
    </w:lvl>
    <w:lvl w:ilvl="3" w:tplc="81CE1D2E" w:tentative="1">
      <w:start w:val="1"/>
      <w:numFmt w:val="decimal"/>
      <w:lvlText w:val="%4."/>
      <w:lvlJc w:val="left"/>
      <w:pPr>
        <w:ind w:left="3240" w:hanging="360"/>
      </w:pPr>
    </w:lvl>
    <w:lvl w:ilvl="4" w:tplc="C15444E4" w:tentative="1">
      <w:start w:val="1"/>
      <w:numFmt w:val="lowerLetter"/>
      <w:lvlText w:val="%5."/>
      <w:lvlJc w:val="left"/>
      <w:pPr>
        <w:ind w:left="3960" w:hanging="360"/>
      </w:pPr>
    </w:lvl>
    <w:lvl w:ilvl="5" w:tplc="3B3CBBAA" w:tentative="1">
      <w:start w:val="1"/>
      <w:numFmt w:val="lowerRoman"/>
      <w:lvlText w:val="%6."/>
      <w:lvlJc w:val="right"/>
      <w:pPr>
        <w:ind w:left="4680" w:hanging="180"/>
      </w:pPr>
    </w:lvl>
    <w:lvl w:ilvl="6" w:tplc="EB9EBDB2" w:tentative="1">
      <w:start w:val="1"/>
      <w:numFmt w:val="decimal"/>
      <w:lvlText w:val="%7."/>
      <w:lvlJc w:val="left"/>
      <w:pPr>
        <w:ind w:left="5400" w:hanging="360"/>
      </w:pPr>
    </w:lvl>
    <w:lvl w:ilvl="7" w:tplc="E6DC1980" w:tentative="1">
      <w:start w:val="1"/>
      <w:numFmt w:val="lowerLetter"/>
      <w:lvlText w:val="%8."/>
      <w:lvlJc w:val="left"/>
      <w:pPr>
        <w:ind w:left="6120" w:hanging="360"/>
      </w:pPr>
    </w:lvl>
    <w:lvl w:ilvl="8" w:tplc="98A44E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A335A"/>
    <w:multiLevelType w:val="hybridMultilevel"/>
    <w:tmpl w:val="2DF21998"/>
    <w:lvl w:ilvl="0" w:tplc="D2CA15E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DF9"/>
    <w:multiLevelType w:val="multilevel"/>
    <w:tmpl w:val="C1380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172522"/>
    <w:multiLevelType w:val="hybridMultilevel"/>
    <w:tmpl w:val="D7A2244A"/>
    <w:lvl w:ilvl="0" w:tplc="B2DAEC0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6C6523"/>
    <w:multiLevelType w:val="hybridMultilevel"/>
    <w:tmpl w:val="CCE2ABBC"/>
    <w:lvl w:ilvl="0" w:tplc="56CAD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A3E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BAF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CB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A5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EE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4E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E1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425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D157A"/>
    <w:multiLevelType w:val="hybridMultilevel"/>
    <w:tmpl w:val="40D0F7D4"/>
    <w:lvl w:ilvl="0" w:tplc="EEFA956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A45AE4"/>
    <w:multiLevelType w:val="hybridMultilevel"/>
    <w:tmpl w:val="412EEA9E"/>
    <w:lvl w:ilvl="0" w:tplc="F3A0CE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5C8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BA6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65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AD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A4F9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AA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25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03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F114D"/>
    <w:multiLevelType w:val="hybridMultilevel"/>
    <w:tmpl w:val="2B746E94"/>
    <w:lvl w:ilvl="0" w:tplc="2EF257B0">
      <w:start w:val="1"/>
      <w:numFmt w:val="decimal"/>
      <w:lvlText w:val="(%1)"/>
      <w:lvlJc w:val="left"/>
      <w:pPr>
        <w:ind w:left="720" w:hanging="360"/>
      </w:pPr>
      <w:rPr>
        <w:rFonts w:eastAsiaTheme="majorEastAsia" w:hint="default"/>
        <w:b w:val="0"/>
      </w:rPr>
    </w:lvl>
    <w:lvl w:ilvl="1" w:tplc="54FCE34A" w:tentative="1">
      <w:start w:val="1"/>
      <w:numFmt w:val="lowerLetter"/>
      <w:lvlText w:val="%2."/>
      <w:lvlJc w:val="left"/>
      <w:pPr>
        <w:ind w:left="1440" w:hanging="360"/>
      </w:pPr>
    </w:lvl>
    <w:lvl w:ilvl="2" w:tplc="258E429A" w:tentative="1">
      <w:start w:val="1"/>
      <w:numFmt w:val="lowerRoman"/>
      <w:lvlText w:val="%3."/>
      <w:lvlJc w:val="right"/>
      <w:pPr>
        <w:ind w:left="2160" w:hanging="180"/>
      </w:pPr>
    </w:lvl>
    <w:lvl w:ilvl="3" w:tplc="7F1CCDE4" w:tentative="1">
      <w:start w:val="1"/>
      <w:numFmt w:val="decimal"/>
      <w:lvlText w:val="%4."/>
      <w:lvlJc w:val="left"/>
      <w:pPr>
        <w:ind w:left="2880" w:hanging="360"/>
      </w:pPr>
    </w:lvl>
    <w:lvl w:ilvl="4" w:tplc="5D7614EA" w:tentative="1">
      <w:start w:val="1"/>
      <w:numFmt w:val="lowerLetter"/>
      <w:lvlText w:val="%5."/>
      <w:lvlJc w:val="left"/>
      <w:pPr>
        <w:ind w:left="3600" w:hanging="360"/>
      </w:pPr>
    </w:lvl>
    <w:lvl w:ilvl="5" w:tplc="A342CE10" w:tentative="1">
      <w:start w:val="1"/>
      <w:numFmt w:val="lowerRoman"/>
      <w:lvlText w:val="%6."/>
      <w:lvlJc w:val="right"/>
      <w:pPr>
        <w:ind w:left="4320" w:hanging="180"/>
      </w:pPr>
    </w:lvl>
    <w:lvl w:ilvl="6" w:tplc="DB5E4FAA" w:tentative="1">
      <w:start w:val="1"/>
      <w:numFmt w:val="decimal"/>
      <w:lvlText w:val="%7."/>
      <w:lvlJc w:val="left"/>
      <w:pPr>
        <w:ind w:left="5040" w:hanging="360"/>
      </w:pPr>
    </w:lvl>
    <w:lvl w:ilvl="7" w:tplc="A6B0597E" w:tentative="1">
      <w:start w:val="1"/>
      <w:numFmt w:val="lowerLetter"/>
      <w:lvlText w:val="%8."/>
      <w:lvlJc w:val="left"/>
      <w:pPr>
        <w:ind w:left="5760" w:hanging="360"/>
      </w:pPr>
    </w:lvl>
    <w:lvl w:ilvl="8" w:tplc="B0541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F6FEF"/>
    <w:multiLevelType w:val="multilevel"/>
    <w:tmpl w:val="DE225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3A32D3B"/>
    <w:multiLevelType w:val="hybridMultilevel"/>
    <w:tmpl w:val="2938A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D299D"/>
    <w:multiLevelType w:val="hybridMultilevel"/>
    <w:tmpl w:val="4858AF6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D181A"/>
    <w:multiLevelType w:val="multilevel"/>
    <w:tmpl w:val="C35C2E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34"/>
    <w:rsid w:val="0000760E"/>
    <w:rsid w:val="00011691"/>
    <w:rsid w:val="000216F5"/>
    <w:rsid w:val="00034A03"/>
    <w:rsid w:val="0003743D"/>
    <w:rsid w:val="00043630"/>
    <w:rsid w:val="00045AC9"/>
    <w:rsid w:val="000767AE"/>
    <w:rsid w:val="00077E11"/>
    <w:rsid w:val="000A1737"/>
    <w:rsid w:val="000B1258"/>
    <w:rsid w:val="000B293D"/>
    <w:rsid w:val="000C7EB0"/>
    <w:rsid w:val="000E7B34"/>
    <w:rsid w:val="000F7BD6"/>
    <w:rsid w:val="0010222F"/>
    <w:rsid w:val="00103D29"/>
    <w:rsid w:val="001304DF"/>
    <w:rsid w:val="00136640"/>
    <w:rsid w:val="00144A3D"/>
    <w:rsid w:val="001478E6"/>
    <w:rsid w:val="00151C37"/>
    <w:rsid w:val="00160C13"/>
    <w:rsid w:val="00172FA5"/>
    <w:rsid w:val="00173521"/>
    <w:rsid w:val="001A1915"/>
    <w:rsid w:val="001B7C19"/>
    <w:rsid w:val="001E0D63"/>
    <w:rsid w:val="001F3F46"/>
    <w:rsid w:val="0020115A"/>
    <w:rsid w:val="0021058C"/>
    <w:rsid w:val="0023146E"/>
    <w:rsid w:val="00234F80"/>
    <w:rsid w:val="00241768"/>
    <w:rsid w:val="00245454"/>
    <w:rsid w:val="00251D1E"/>
    <w:rsid w:val="002565CB"/>
    <w:rsid w:val="002575C5"/>
    <w:rsid w:val="00257874"/>
    <w:rsid w:val="00262FD9"/>
    <w:rsid w:val="0026394B"/>
    <w:rsid w:val="002721C7"/>
    <w:rsid w:val="00272BAE"/>
    <w:rsid w:val="002766D8"/>
    <w:rsid w:val="0028734D"/>
    <w:rsid w:val="00293153"/>
    <w:rsid w:val="00293395"/>
    <w:rsid w:val="002A3790"/>
    <w:rsid w:val="003029BE"/>
    <w:rsid w:val="003034D2"/>
    <w:rsid w:val="00303D83"/>
    <w:rsid w:val="003057CD"/>
    <w:rsid w:val="00320C48"/>
    <w:rsid w:val="00321F32"/>
    <w:rsid w:val="003642AB"/>
    <w:rsid w:val="00384A29"/>
    <w:rsid w:val="0038525E"/>
    <w:rsid w:val="003A476C"/>
    <w:rsid w:val="003B2872"/>
    <w:rsid w:val="003B2AF1"/>
    <w:rsid w:val="003E332B"/>
    <w:rsid w:val="0040155D"/>
    <w:rsid w:val="004044C8"/>
    <w:rsid w:val="0040598A"/>
    <w:rsid w:val="00413C35"/>
    <w:rsid w:val="00435B5D"/>
    <w:rsid w:val="004421D5"/>
    <w:rsid w:val="0045075B"/>
    <w:rsid w:val="00450AE3"/>
    <w:rsid w:val="0045371B"/>
    <w:rsid w:val="00477274"/>
    <w:rsid w:val="00480D34"/>
    <w:rsid w:val="00485634"/>
    <w:rsid w:val="004A4163"/>
    <w:rsid w:val="004A53E4"/>
    <w:rsid w:val="004D48C2"/>
    <w:rsid w:val="004E3140"/>
    <w:rsid w:val="004E49E0"/>
    <w:rsid w:val="004F448D"/>
    <w:rsid w:val="00501003"/>
    <w:rsid w:val="0050200A"/>
    <w:rsid w:val="005046E1"/>
    <w:rsid w:val="005214E7"/>
    <w:rsid w:val="00525B1E"/>
    <w:rsid w:val="00526FAE"/>
    <w:rsid w:val="00555052"/>
    <w:rsid w:val="005554E2"/>
    <w:rsid w:val="00561D3F"/>
    <w:rsid w:val="005847A6"/>
    <w:rsid w:val="005A4C3F"/>
    <w:rsid w:val="005A53D1"/>
    <w:rsid w:val="005A7FA5"/>
    <w:rsid w:val="005B1D67"/>
    <w:rsid w:val="005B676C"/>
    <w:rsid w:val="005C0676"/>
    <w:rsid w:val="005C11BD"/>
    <w:rsid w:val="005C709B"/>
    <w:rsid w:val="005D00A3"/>
    <w:rsid w:val="005D1255"/>
    <w:rsid w:val="005E0FB4"/>
    <w:rsid w:val="005E16F8"/>
    <w:rsid w:val="005F0CA7"/>
    <w:rsid w:val="00601F1E"/>
    <w:rsid w:val="006043B4"/>
    <w:rsid w:val="00605A70"/>
    <w:rsid w:val="006119AC"/>
    <w:rsid w:val="00615E48"/>
    <w:rsid w:val="00617ACF"/>
    <w:rsid w:val="0062023A"/>
    <w:rsid w:val="0062294D"/>
    <w:rsid w:val="00624E0E"/>
    <w:rsid w:val="00626E37"/>
    <w:rsid w:val="00633D19"/>
    <w:rsid w:val="00636B56"/>
    <w:rsid w:val="0064033E"/>
    <w:rsid w:val="0065452B"/>
    <w:rsid w:val="00656D47"/>
    <w:rsid w:val="006653B7"/>
    <w:rsid w:val="00667A47"/>
    <w:rsid w:val="006702F7"/>
    <w:rsid w:val="00673B7A"/>
    <w:rsid w:val="00686F73"/>
    <w:rsid w:val="00687FCE"/>
    <w:rsid w:val="006949A9"/>
    <w:rsid w:val="006B29B9"/>
    <w:rsid w:val="006B7BE9"/>
    <w:rsid w:val="006D6E0D"/>
    <w:rsid w:val="00702A6C"/>
    <w:rsid w:val="00705C35"/>
    <w:rsid w:val="00707A1F"/>
    <w:rsid w:val="00707A27"/>
    <w:rsid w:val="007212D7"/>
    <w:rsid w:val="00733DD6"/>
    <w:rsid w:val="00735754"/>
    <w:rsid w:val="00735DC2"/>
    <w:rsid w:val="0074105F"/>
    <w:rsid w:val="007471D8"/>
    <w:rsid w:val="00750816"/>
    <w:rsid w:val="00754A3B"/>
    <w:rsid w:val="0077704D"/>
    <w:rsid w:val="0078559C"/>
    <w:rsid w:val="007939D1"/>
    <w:rsid w:val="007E0405"/>
    <w:rsid w:val="007E3912"/>
    <w:rsid w:val="007F55BE"/>
    <w:rsid w:val="0081006E"/>
    <w:rsid w:val="00811AE3"/>
    <w:rsid w:val="0082292D"/>
    <w:rsid w:val="008318F4"/>
    <w:rsid w:val="00856424"/>
    <w:rsid w:val="0085642E"/>
    <w:rsid w:val="0087024E"/>
    <w:rsid w:val="008961A9"/>
    <w:rsid w:val="008A324F"/>
    <w:rsid w:val="008B1ED4"/>
    <w:rsid w:val="008B28E6"/>
    <w:rsid w:val="008C1A93"/>
    <w:rsid w:val="008C3D71"/>
    <w:rsid w:val="008C5E08"/>
    <w:rsid w:val="008F55EE"/>
    <w:rsid w:val="00903C36"/>
    <w:rsid w:val="00916D3B"/>
    <w:rsid w:val="00934901"/>
    <w:rsid w:val="009414F8"/>
    <w:rsid w:val="00957F89"/>
    <w:rsid w:val="00987AA9"/>
    <w:rsid w:val="009D15B3"/>
    <w:rsid w:val="009E0889"/>
    <w:rsid w:val="00A02ED6"/>
    <w:rsid w:val="00A05EE5"/>
    <w:rsid w:val="00A44C36"/>
    <w:rsid w:val="00A73925"/>
    <w:rsid w:val="00A77F12"/>
    <w:rsid w:val="00AA1B34"/>
    <w:rsid w:val="00AA33B6"/>
    <w:rsid w:val="00AB1DFF"/>
    <w:rsid w:val="00AE0FBE"/>
    <w:rsid w:val="00AF335A"/>
    <w:rsid w:val="00B13CDE"/>
    <w:rsid w:val="00B31EC0"/>
    <w:rsid w:val="00B334C5"/>
    <w:rsid w:val="00B37882"/>
    <w:rsid w:val="00B62BE1"/>
    <w:rsid w:val="00B67B52"/>
    <w:rsid w:val="00B942C3"/>
    <w:rsid w:val="00BA7455"/>
    <w:rsid w:val="00BD506D"/>
    <w:rsid w:val="00BD74E0"/>
    <w:rsid w:val="00BD7B0D"/>
    <w:rsid w:val="00BF3D0C"/>
    <w:rsid w:val="00C65455"/>
    <w:rsid w:val="00C6637D"/>
    <w:rsid w:val="00C824C3"/>
    <w:rsid w:val="00C8288B"/>
    <w:rsid w:val="00CA46DE"/>
    <w:rsid w:val="00CA6CF0"/>
    <w:rsid w:val="00CE71BF"/>
    <w:rsid w:val="00CF0000"/>
    <w:rsid w:val="00CF4271"/>
    <w:rsid w:val="00D11EC1"/>
    <w:rsid w:val="00D22BD3"/>
    <w:rsid w:val="00D301DD"/>
    <w:rsid w:val="00D3199B"/>
    <w:rsid w:val="00D364A5"/>
    <w:rsid w:val="00D425AE"/>
    <w:rsid w:val="00D53A0A"/>
    <w:rsid w:val="00D75D3C"/>
    <w:rsid w:val="00D90F01"/>
    <w:rsid w:val="00DD47FD"/>
    <w:rsid w:val="00DE4C72"/>
    <w:rsid w:val="00DF521F"/>
    <w:rsid w:val="00E14297"/>
    <w:rsid w:val="00E14515"/>
    <w:rsid w:val="00E1680A"/>
    <w:rsid w:val="00E22ECC"/>
    <w:rsid w:val="00E44355"/>
    <w:rsid w:val="00E4783E"/>
    <w:rsid w:val="00E56111"/>
    <w:rsid w:val="00E81CBE"/>
    <w:rsid w:val="00E9035B"/>
    <w:rsid w:val="00EB07E1"/>
    <w:rsid w:val="00EC728C"/>
    <w:rsid w:val="00F01A51"/>
    <w:rsid w:val="00F45BDE"/>
    <w:rsid w:val="00F67C9C"/>
    <w:rsid w:val="00F7484B"/>
    <w:rsid w:val="00F75044"/>
    <w:rsid w:val="00F81F1D"/>
    <w:rsid w:val="00F866DF"/>
    <w:rsid w:val="00FA2F22"/>
    <w:rsid w:val="00FC5933"/>
    <w:rsid w:val="00FD1867"/>
    <w:rsid w:val="00FE564F"/>
    <w:rsid w:val="00FF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B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7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0E7B34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E7B34"/>
    <w:pPr>
      <w:spacing w:before="120"/>
    </w:pPr>
    <w:rPr>
      <w:rFonts w:asciiTheme="minorHAnsi" w:eastAsiaTheme="minorHAnsi" w:hAnsiTheme="minorHAnsi" w:cstheme="minorHAnsi"/>
      <w:b/>
      <w:bCs/>
      <w:i/>
      <w:iCs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E7B34"/>
    <w:pPr>
      <w:spacing w:before="120"/>
      <w:ind w:left="240"/>
    </w:pPr>
    <w:rPr>
      <w:rFonts w:asciiTheme="minorHAnsi" w:eastAsiaTheme="minorHAnsi" w:hAnsiTheme="minorHAnsi" w:cstheme="minorHAnsi"/>
      <w:b/>
      <w:bCs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34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C48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C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C4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0C48"/>
    <w:pPr>
      <w:ind w:left="720"/>
      <w:contextualSpacing/>
    </w:pPr>
  </w:style>
  <w:style w:type="character" w:customStyle="1" w:styleId="jlqj4b">
    <w:name w:val="jlqj4b"/>
    <w:basedOn w:val="DefaultParagraphFont"/>
    <w:rsid w:val="006949A9"/>
  </w:style>
  <w:style w:type="paragraph" w:styleId="Header">
    <w:name w:val="header"/>
    <w:basedOn w:val="Normal"/>
    <w:link w:val="HeaderChar"/>
    <w:uiPriority w:val="99"/>
    <w:unhideWhenUsed/>
    <w:rsid w:val="00903C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C3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03C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C3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kedcontent">
    <w:name w:val="markedcontent"/>
    <w:basedOn w:val="DefaultParagraphFont"/>
    <w:rsid w:val="00303D83"/>
  </w:style>
  <w:style w:type="character" w:styleId="CommentReference">
    <w:name w:val="annotation reference"/>
    <w:basedOn w:val="DefaultParagraphFont"/>
    <w:uiPriority w:val="99"/>
    <w:semiHidden/>
    <w:unhideWhenUsed/>
    <w:rsid w:val="000F7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BD6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BD6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55505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13C35"/>
    <w:rPr>
      <w:i/>
      <w:iCs/>
    </w:rPr>
  </w:style>
  <w:style w:type="character" w:styleId="Strong">
    <w:name w:val="Strong"/>
    <w:basedOn w:val="DefaultParagraphFont"/>
    <w:uiPriority w:val="22"/>
    <w:qFormat/>
    <w:rsid w:val="00BF3D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B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7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0E7B34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E7B34"/>
    <w:pPr>
      <w:spacing w:before="120"/>
    </w:pPr>
    <w:rPr>
      <w:rFonts w:asciiTheme="minorHAnsi" w:eastAsiaTheme="minorHAnsi" w:hAnsiTheme="minorHAnsi" w:cstheme="minorHAnsi"/>
      <w:b/>
      <w:bCs/>
      <w:i/>
      <w:iCs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E7B34"/>
    <w:pPr>
      <w:spacing w:before="120"/>
      <w:ind w:left="240"/>
    </w:pPr>
    <w:rPr>
      <w:rFonts w:asciiTheme="minorHAnsi" w:eastAsiaTheme="minorHAnsi" w:hAnsiTheme="minorHAnsi" w:cstheme="minorHAnsi"/>
      <w:b/>
      <w:bCs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34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0C48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0C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0C4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0C48"/>
    <w:pPr>
      <w:ind w:left="720"/>
      <w:contextualSpacing/>
    </w:pPr>
  </w:style>
  <w:style w:type="character" w:customStyle="1" w:styleId="jlqj4b">
    <w:name w:val="jlqj4b"/>
    <w:basedOn w:val="DefaultParagraphFont"/>
    <w:rsid w:val="006949A9"/>
  </w:style>
  <w:style w:type="paragraph" w:styleId="Header">
    <w:name w:val="header"/>
    <w:basedOn w:val="Normal"/>
    <w:link w:val="HeaderChar"/>
    <w:uiPriority w:val="99"/>
    <w:unhideWhenUsed/>
    <w:rsid w:val="00903C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C3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03C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C3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kedcontent">
    <w:name w:val="markedcontent"/>
    <w:basedOn w:val="DefaultParagraphFont"/>
    <w:rsid w:val="00303D83"/>
  </w:style>
  <w:style w:type="character" w:styleId="CommentReference">
    <w:name w:val="annotation reference"/>
    <w:basedOn w:val="DefaultParagraphFont"/>
    <w:uiPriority w:val="99"/>
    <w:semiHidden/>
    <w:unhideWhenUsed/>
    <w:rsid w:val="000F7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BD6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BD6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55505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13C35"/>
    <w:rPr>
      <w:i/>
      <w:iCs/>
    </w:rPr>
  </w:style>
  <w:style w:type="character" w:styleId="Strong">
    <w:name w:val="Strong"/>
    <w:basedOn w:val="DefaultParagraphFont"/>
    <w:uiPriority w:val="22"/>
    <w:qFormat/>
    <w:rsid w:val="00BF3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titc.government.bg/en/category/85/national-program-digital-bulgaria-2025-and-road-map-its-implementation-are-adopted-cm-decision-no73005-12-2019" TargetMode="External"/><Relationship Id="rId18" Type="http://schemas.openxmlformats.org/officeDocument/2006/relationships/hyperlink" Target="https://www.uni-sofia.bg/index.php/novini/novini_i_s_bitiya/sofijskiyat_universitet_sv_kliment_ohridski_startira_nov_golyam_proekt_po_procedurata_modernizaciya_na_visshite_uchilisch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sibg.org/%D0%BB%D1%83%D0%B8%D0%B4%D0%B6%D0%B8-%D1%80%D0%B5%D0%B1%D1%83%D1%84%D0%B8-%D0%B3%D0%B5%D0%BD%D0%B5%D1%80%D0%B0%D0%BB%D0%B5%D0%BD-%D1%81%D0%B5%D0%BA%D1%80%D0%B5%D1%82%D0%B0%D1%80-%D0%BD%D0%B0-%D0%B5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nctad.org/system/files/non-official-document/CSTD_2018_IPanel_T2_DigitalComp_con15_Bulgaria_en.pdf" TargetMode="External"/><Relationship Id="rId17" Type="http://schemas.openxmlformats.org/officeDocument/2006/relationships/hyperlink" Target="https://www.bcci.bg/bulgarian/projects/DigSMSe/Analysis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eufunds.bg/bg/node/3416" TargetMode="External"/><Relationship Id="rId20" Type="http://schemas.openxmlformats.org/officeDocument/2006/relationships/hyperlink" Target="https://krib.bg/bg/news/Kiril-Domuschiev-otkri-Forum-za-oblachni-tehnologii-organiziran-ot-KRIB-VIVACOM-i-Huawe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ve.bg/stanovishte-mart" TargetMode="External"/><Relationship Id="rId24" Type="http://schemas.openxmlformats.org/officeDocument/2006/relationships/hyperlink" Target="https://www.basscom.org/RapidASPEditor/MyUploadDocs/BASSCOM_Barometer_2020_BG_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c.europa.eu/eurostat/web/products-eurostat-news/-/ddn-20200417-1" TargetMode="External"/><Relationship Id="rId23" Type="http://schemas.openxmlformats.org/officeDocument/2006/relationships/hyperlink" Target="http://edit.bg/wp-content/uploads/2019/12/innovationship-2019-en-pdf-web.pdf" TargetMode="External"/><Relationship Id="rId10" Type="http://schemas.openxmlformats.org/officeDocument/2006/relationships/hyperlink" Target="https://parliament.bg/bg/news/ID/5203" TargetMode="External"/><Relationship Id="rId19" Type="http://schemas.openxmlformats.org/officeDocument/2006/relationships/hyperlink" Target="https://bica-bg.org/bica-and-the-united-nations-industrial-development-organization-continue-and-expand-their-partnership/?lang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orldbank.org/en/news/press-release/2020/11/09/bulgarias-industry-adopted-artificial-intelligence-solutions-finds-a-new-world-bank-report" TargetMode="External"/><Relationship Id="rId14" Type="http://schemas.openxmlformats.org/officeDocument/2006/relationships/hyperlink" Target="https://www.ipa.government.bg/bg/novini/blizo-11-000-sluzhiteli-zavrshiha-kursove-na-ipa-prez-prvoto-polugodie-na-2021-g" TargetMode="External"/><Relationship Id="rId22" Type="http://schemas.openxmlformats.org/officeDocument/2006/relationships/hyperlink" Target="https://digitalchallengers.mckinsey.com/files/McKinsey_Digital%20Challengers_Perspective_on_Bulgaria_online.pdf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si.bg/bg/content/18665/%D0%BF%D1%83%D0%B1%D0%BB%D0%B8%D0%BA%D0%B0%D1%86%D0%B8%D1%8F/%D1%81%D1%82%D1%80%D1%83%D0%BA%D1%82%D1%83%D1%80%D0%B0-%D0%BD%D0%B0-%D0%B7%D0%B0%D0%BF%D0%BB%D0%B0%D1%82%D0%B8%D1%82%D0%B5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8952-0A5E-4E38-A004-D927F3AA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6755</Words>
  <Characters>38505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Lyuboslav Kostov</dc:creator>
  <cp:lastModifiedBy>Ina Atanasova</cp:lastModifiedBy>
  <cp:revision>4</cp:revision>
  <dcterms:created xsi:type="dcterms:W3CDTF">2022-02-18T11:32:00Z</dcterms:created>
  <dcterms:modified xsi:type="dcterms:W3CDTF">2022-02-18T11:44:00Z</dcterms:modified>
</cp:coreProperties>
</file>